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E7" w:rsidRPr="002561A1" w:rsidRDefault="004552E1" w:rsidP="00721D08">
      <w:pPr>
        <w:spacing w:after="0" w:line="240" w:lineRule="auto"/>
        <w:ind w:left="2977"/>
        <w:contextualSpacing/>
        <w:mirrorIndents/>
        <w:jc w:val="both"/>
        <w:rPr>
          <w:rFonts w:ascii="Arial" w:hAnsi="Arial" w:cs="Arial"/>
          <w:b/>
          <w:sz w:val="24"/>
          <w:szCs w:val="24"/>
        </w:rPr>
      </w:pPr>
      <w:bookmarkStart w:id="0" w:name="_GoBack"/>
      <w:bookmarkEnd w:id="0"/>
      <w:r w:rsidRPr="002561A1">
        <w:rPr>
          <w:rFonts w:ascii="Arial" w:hAnsi="Arial" w:cs="Arial"/>
          <w:b/>
          <w:sz w:val="24"/>
          <w:szCs w:val="24"/>
        </w:rPr>
        <w:t>JUICIO PARA LA PROTECCIÓN DE LOS DERECHOS POLÍTICO-ELECTORALES DEL CIUDADANO.</w:t>
      </w:r>
    </w:p>
    <w:p w:rsidR="00EC2363" w:rsidRDefault="00EC2363" w:rsidP="007F07B5">
      <w:pPr>
        <w:spacing w:after="0" w:line="240" w:lineRule="auto"/>
        <w:ind w:left="2977"/>
        <w:contextualSpacing/>
        <w:mirrorIndents/>
        <w:jc w:val="both"/>
        <w:rPr>
          <w:rFonts w:ascii="Arial" w:hAnsi="Arial" w:cs="Arial"/>
          <w:b/>
          <w:sz w:val="24"/>
          <w:szCs w:val="24"/>
        </w:rPr>
      </w:pPr>
    </w:p>
    <w:p w:rsidR="006A7EE7" w:rsidRPr="002561A1" w:rsidRDefault="006A7EE7" w:rsidP="007F07B5">
      <w:pPr>
        <w:spacing w:after="0" w:line="240" w:lineRule="auto"/>
        <w:ind w:left="2977"/>
        <w:contextualSpacing/>
        <w:mirrorIndents/>
        <w:jc w:val="both"/>
        <w:rPr>
          <w:rFonts w:ascii="Arial" w:hAnsi="Arial" w:cs="Arial"/>
          <w:b/>
          <w:sz w:val="24"/>
          <w:szCs w:val="24"/>
        </w:rPr>
      </w:pPr>
      <w:r w:rsidRPr="002561A1">
        <w:rPr>
          <w:rFonts w:ascii="Arial" w:hAnsi="Arial" w:cs="Arial"/>
          <w:b/>
          <w:sz w:val="24"/>
          <w:szCs w:val="24"/>
        </w:rPr>
        <w:t xml:space="preserve">EXPEDIENTE: </w:t>
      </w:r>
      <w:r w:rsidRPr="002561A1">
        <w:rPr>
          <w:rFonts w:ascii="Arial" w:hAnsi="Arial" w:cs="Arial"/>
          <w:sz w:val="24"/>
          <w:szCs w:val="24"/>
        </w:rPr>
        <w:t>TEEA-JDC-0</w:t>
      </w:r>
      <w:r w:rsidR="004F23B5">
        <w:rPr>
          <w:rFonts w:ascii="Arial" w:hAnsi="Arial" w:cs="Arial"/>
          <w:sz w:val="24"/>
          <w:szCs w:val="24"/>
        </w:rPr>
        <w:t>35</w:t>
      </w:r>
      <w:r w:rsidRPr="002561A1">
        <w:rPr>
          <w:rFonts w:ascii="Arial" w:hAnsi="Arial" w:cs="Arial"/>
          <w:sz w:val="24"/>
          <w:szCs w:val="24"/>
        </w:rPr>
        <w:t>/201</w:t>
      </w:r>
      <w:r w:rsidR="00DE782E">
        <w:rPr>
          <w:rFonts w:ascii="Arial" w:hAnsi="Arial" w:cs="Arial"/>
          <w:sz w:val="24"/>
          <w:szCs w:val="24"/>
        </w:rPr>
        <w:t>9</w:t>
      </w:r>
      <w:r w:rsidR="00E119F3">
        <w:rPr>
          <w:rFonts w:ascii="Arial" w:hAnsi="Arial" w:cs="Arial"/>
          <w:sz w:val="24"/>
          <w:szCs w:val="24"/>
        </w:rPr>
        <w:t xml:space="preserve"> Y ACUMULADO</w:t>
      </w:r>
      <w:r w:rsidR="004F23B5">
        <w:rPr>
          <w:rFonts w:ascii="Arial" w:hAnsi="Arial" w:cs="Arial"/>
          <w:sz w:val="24"/>
          <w:szCs w:val="24"/>
        </w:rPr>
        <w:t>S</w:t>
      </w:r>
      <w:r w:rsidR="00E119F3">
        <w:rPr>
          <w:rFonts w:ascii="Arial" w:hAnsi="Arial" w:cs="Arial"/>
          <w:sz w:val="24"/>
          <w:szCs w:val="24"/>
        </w:rPr>
        <w:t>.</w:t>
      </w:r>
    </w:p>
    <w:p w:rsidR="00EC2363" w:rsidRDefault="00EC2363" w:rsidP="007F07B5">
      <w:pPr>
        <w:spacing w:after="0" w:line="240" w:lineRule="auto"/>
        <w:ind w:left="2977"/>
        <w:contextualSpacing/>
        <w:mirrorIndents/>
        <w:jc w:val="both"/>
        <w:rPr>
          <w:rFonts w:ascii="Arial" w:hAnsi="Arial" w:cs="Arial"/>
          <w:b/>
          <w:sz w:val="24"/>
          <w:szCs w:val="24"/>
        </w:rPr>
      </w:pPr>
    </w:p>
    <w:p w:rsidR="006A7EE7" w:rsidRPr="002561A1" w:rsidRDefault="006A7EE7" w:rsidP="007F07B5">
      <w:pPr>
        <w:spacing w:after="0" w:line="240" w:lineRule="auto"/>
        <w:ind w:left="2977"/>
        <w:contextualSpacing/>
        <w:mirrorIndents/>
        <w:jc w:val="both"/>
        <w:rPr>
          <w:rFonts w:ascii="Arial" w:hAnsi="Arial" w:cs="Arial"/>
          <w:b/>
          <w:sz w:val="24"/>
          <w:szCs w:val="24"/>
        </w:rPr>
      </w:pPr>
      <w:r w:rsidRPr="002561A1">
        <w:rPr>
          <w:rFonts w:ascii="Arial" w:hAnsi="Arial" w:cs="Arial"/>
          <w:b/>
          <w:sz w:val="24"/>
          <w:szCs w:val="24"/>
        </w:rPr>
        <w:t xml:space="preserve">PROMOVENTE: </w:t>
      </w:r>
      <w:r w:rsidR="004F23B5">
        <w:rPr>
          <w:rFonts w:ascii="Arial" w:hAnsi="Arial" w:cs="Arial"/>
          <w:sz w:val="24"/>
          <w:szCs w:val="24"/>
        </w:rPr>
        <w:t>YAZMIN MARMOLEJO BERNAL</w:t>
      </w:r>
      <w:r w:rsidR="006D0152">
        <w:rPr>
          <w:rFonts w:ascii="Arial" w:hAnsi="Arial" w:cs="Arial"/>
          <w:sz w:val="24"/>
          <w:szCs w:val="24"/>
        </w:rPr>
        <w:t xml:space="preserve"> Y OTROS</w:t>
      </w:r>
      <w:r w:rsidR="00E119F3">
        <w:rPr>
          <w:rFonts w:ascii="Arial" w:hAnsi="Arial" w:cs="Arial"/>
          <w:sz w:val="24"/>
          <w:szCs w:val="24"/>
        </w:rPr>
        <w:t>.</w:t>
      </w:r>
    </w:p>
    <w:p w:rsidR="00EC2363" w:rsidRDefault="00EC2363" w:rsidP="007F07B5">
      <w:pPr>
        <w:spacing w:after="0" w:line="240" w:lineRule="auto"/>
        <w:ind w:left="2977"/>
        <w:contextualSpacing/>
        <w:mirrorIndents/>
        <w:jc w:val="both"/>
        <w:rPr>
          <w:rFonts w:ascii="Arial" w:hAnsi="Arial" w:cs="Arial"/>
          <w:b/>
          <w:sz w:val="24"/>
          <w:szCs w:val="24"/>
        </w:rPr>
      </w:pPr>
    </w:p>
    <w:p w:rsidR="006A7EE7" w:rsidRPr="002561A1" w:rsidRDefault="006A7EE7" w:rsidP="007F07B5">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 xml:space="preserve">AUTORIDAD RESPONSABLE: </w:t>
      </w:r>
      <w:r w:rsidR="004F23B5">
        <w:rPr>
          <w:rFonts w:ascii="Arial" w:hAnsi="Arial" w:cs="Arial"/>
          <w:sz w:val="24"/>
          <w:szCs w:val="24"/>
        </w:rPr>
        <w:t>REPRESENTANTE LEGAL DE MORENA ANTE EL INSTITUTO ESTATAL ELECTORAL.</w:t>
      </w:r>
    </w:p>
    <w:p w:rsidR="00EC2363" w:rsidRDefault="00EC2363" w:rsidP="007F07B5">
      <w:pPr>
        <w:spacing w:after="0" w:line="240" w:lineRule="auto"/>
        <w:ind w:left="2977"/>
        <w:contextualSpacing/>
        <w:mirrorIndents/>
        <w:jc w:val="both"/>
        <w:rPr>
          <w:rFonts w:ascii="Arial" w:hAnsi="Arial" w:cs="Arial"/>
          <w:b/>
          <w:sz w:val="24"/>
          <w:szCs w:val="24"/>
        </w:rPr>
      </w:pPr>
    </w:p>
    <w:p w:rsidR="006A7EE7" w:rsidRPr="002561A1" w:rsidRDefault="006A7EE7" w:rsidP="007F07B5">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MAGISTRAD</w:t>
      </w:r>
      <w:r w:rsidR="002B18FE" w:rsidRPr="002561A1">
        <w:rPr>
          <w:rFonts w:ascii="Arial" w:hAnsi="Arial" w:cs="Arial"/>
          <w:b/>
          <w:sz w:val="24"/>
          <w:szCs w:val="24"/>
        </w:rPr>
        <w:t>O</w:t>
      </w:r>
      <w:r w:rsidRPr="002561A1">
        <w:rPr>
          <w:rFonts w:ascii="Arial" w:hAnsi="Arial" w:cs="Arial"/>
          <w:b/>
          <w:sz w:val="24"/>
          <w:szCs w:val="24"/>
        </w:rPr>
        <w:t xml:space="preserve"> PONENTE: </w:t>
      </w:r>
      <w:r w:rsidR="00DE782E">
        <w:rPr>
          <w:rFonts w:ascii="Arial" w:hAnsi="Arial" w:cs="Arial"/>
          <w:sz w:val="24"/>
          <w:szCs w:val="24"/>
        </w:rPr>
        <w:t>JORGE RAMÓN DÍAZ DE LEÓN GUTIÉRREZ</w:t>
      </w:r>
      <w:r w:rsidRPr="002561A1">
        <w:rPr>
          <w:rFonts w:ascii="Arial" w:hAnsi="Arial" w:cs="Arial"/>
          <w:sz w:val="24"/>
          <w:szCs w:val="24"/>
        </w:rPr>
        <w:t>.</w:t>
      </w:r>
    </w:p>
    <w:p w:rsidR="00EC2363" w:rsidRDefault="00EC2363" w:rsidP="007F07B5">
      <w:pPr>
        <w:spacing w:after="0" w:line="240" w:lineRule="auto"/>
        <w:ind w:left="2977"/>
        <w:contextualSpacing/>
        <w:mirrorIndents/>
        <w:jc w:val="both"/>
        <w:rPr>
          <w:rFonts w:ascii="Arial" w:hAnsi="Arial" w:cs="Arial"/>
          <w:b/>
          <w:sz w:val="24"/>
          <w:szCs w:val="24"/>
        </w:rPr>
      </w:pPr>
    </w:p>
    <w:p w:rsidR="006A7EE7" w:rsidRDefault="006A7EE7" w:rsidP="007F07B5">
      <w:pPr>
        <w:spacing w:after="0" w:line="240" w:lineRule="auto"/>
        <w:ind w:left="2977"/>
        <w:contextualSpacing/>
        <w:mirrorIndents/>
        <w:jc w:val="both"/>
        <w:rPr>
          <w:rFonts w:ascii="Arial" w:hAnsi="Arial" w:cs="Arial"/>
          <w:sz w:val="24"/>
          <w:szCs w:val="24"/>
        </w:rPr>
      </w:pPr>
      <w:r w:rsidRPr="002561A1">
        <w:rPr>
          <w:rFonts w:ascii="Arial" w:hAnsi="Arial" w:cs="Arial"/>
          <w:b/>
          <w:sz w:val="24"/>
          <w:szCs w:val="24"/>
        </w:rPr>
        <w:t>SECRETARI</w:t>
      </w:r>
      <w:r w:rsidR="00DE782E">
        <w:rPr>
          <w:rFonts w:ascii="Arial" w:hAnsi="Arial" w:cs="Arial"/>
          <w:b/>
          <w:sz w:val="24"/>
          <w:szCs w:val="24"/>
        </w:rPr>
        <w:t>A</w:t>
      </w:r>
      <w:r w:rsidRPr="002561A1">
        <w:rPr>
          <w:rFonts w:ascii="Arial" w:hAnsi="Arial" w:cs="Arial"/>
          <w:b/>
          <w:sz w:val="24"/>
          <w:szCs w:val="24"/>
        </w:rPr>
        <w:t xml:space="preserve"> DE ESTUDIO: </w:t>
      </w:r>
      <w:r w:rsidR="00DE782E">
        <w:rPr>
          <w:rFonts w:ascii="Arial" w:hAnsi="Arial" w:cs="Arial"/>
          <w:sz w:val="24"/>
          <w:szCs w:val="24"/>
        </w:rPr>
        <w:t>CINDY CRISTINA MACÍAS AVELAR</w:t>
      </w:r>
      <w:r w:rsidRPr="002561A1">
        <w:rPr>
          <w:rFonts w:ascii="Arial" w:hAnsi="Arial" w:cs="Arial"/>
          <w:sz w:val="24"/>
          <w:szCs w:val="24"/>
        </w:rPr>
        <w:t>.</w:t>
      </w:r>
    </w:p>
    <w:p w:rsidR="00527330" w:rsidRPr="00527330" w:rsidRDefault="00527330" w:rsidP="007F07B5">
      <w:pPr>
        <w:spacing w:after="0" w:line="240" w:lineRule="auto"/>
        <w:ind w:left="2977"/>
        <w:contextualSpacing/>
        <w:mirrorIndents/>
        <w:jc w:val="both"/>
        <w:rPr>
          <w:rFonts w:ascii="Arial" w:hAnsi="Arial" w:cs="Arial"/>
          <w:sz w:val="24"/>
          <w:szCs w:val="24"/>
        </w:rPr>
      </w:pPr>
    </w:p>
    <w:p w:rsidR="006A7EE7" w:rsidRPr="002561A1" w:rsidRDefault="006A7EE7" w:rsidP="007F07B5">
      <w:pPr>
        <w:spacing w:after="0" w:line="240" w:lineRule="auto"/>
        <w:ind w:left="2977"/>
        <w:contextualSpacing/>
        <w:mirrorIndents/>
        <w:jc w:val="both"/>
        <w:rPr>
          <w:rFonts w:ascii="Arial" w:hAnsi="Arial" w:cs="Arial"/>
          <w:sz w:val="24"/>
          <w:szCs w:val="24"/>
        </w:rPr>
      </w:pPr>
    </w:p>
    <w:p w:rsidR="007F07B5" w:rsidRDefault="007F07B5" w:rsidP="00F5192C">
      <w:pPr>
        <w:pStyle w:val="NormalWeb"/>
        <w:spacing w:before="0" w:beforeAutospacing="0" w:after="0" w:afterAutospacing="0" w:line="360" w:lineRule="auto"/>
        <w:ind w:left="-142" w:firstLine="568"/>
        <w:contextualSpacing/>
        <w:mirrorIndents/>
        <w:jc w:val="both"/>
        <w:rPr>
          <w:rFonts w:ascii="Arial" w:hAnsi="Arial" w:cs="Arial"/>
          <w:color w:val="000000"/>
        </w:rPr>
      </w:pPr>
      <w:bookmarkStart w:id="1" w:name="_Hlk499556789"/>
    </w:p>
    <w:p w:rsidR="006A7EE7" w:rsidRPr="002561A1" w:rsidRDefault="006A7EE7" w:rsidP="006301B8">
      <w:pPr>
        <w:pStyle w:val="NormalWeb"/>
        <w:spacing w:before="0" w:beforeAutospacing="0" w:after="0" w:afterAutospacing="0" w:line="360" w:lineRule="auto"/>
        <w:ind w:left="-283" w:right="-283" w:firstLine="568"/>
        <w:contextualSpacing/>
        <w:mirrorIndents/>
        <w:jc w:val="both"/>
        <w:rPr>
          <w:rFonts w:ascii="Arial" w:hAnsi="Arial" w:cs="Arial"/>
          <w:color w:val="000000"/>
        </w:rPr>
      </w:pPr>
      <w:r w:rsidRPr="002561A1">
        <w:rPr>
          <w:rFonts w:ascii="Arial" w:hAnsi="Arial" w:cs="Arial"/>
          <w:color w:val="000000"/>
        </w:rPr>
        <w:t xml:space="preserve">Aguascalientes, Aguascalientes, a </w:t>
      </w:r>
      <w:r w:rsidR="0021344E">
        <w:rPr>
          <w:rFonts w:ascii="Arial" w:hAnsi="Arial" w:cs="Arial"/>
          <w:color w:val="000000"/>
        </w:rPr>
        <w:t>dieciséis</w:t>
      </w:r>
      <w:r w:rsidR="00527330">
        <w:rPr>
          <w:rFonts w:ascii="Arial" w:hAnsi="Arial" w:cs="Arial"/>
          <w:color w:val="000000"/>
        </w:rPr>
        <w:t xml:space="preserve"> de </w:t>
      </w:r>
      <w:r w:rsidR="004F23B5">
        <w:rPr>
          <w:rFonts w:ascii="Arial" w:hAnsi="Arial" w:cs="Arial"/>
          <w:color w:val="000000"/>
        </w:rPr>
        <w:t>abril</w:t>
      </w:r>
      <w:r w:rsidR="00527330">
        <w:rPr>
          <w:rFonts w:ascii="Arial" w:hAnsi="Arial" w:cs="Arial"/>
          <w:color w:val="000000"/>
        </w:rPr>
        <w:t xml:space="preserve"> </w:t>
      </w:r>
      <w:r w:rsidRPr="002561A1">
        <w:rPr>
          <w:rFonts w:ascii="Arial" w:hAnsi="Arial" w:cs="Arial"/>
          <w:color w:val="000000"/>
        </w:rPr>
        <w:t>de dos mil dieci</w:t>
      </w:r>
      <w:r w:rsidR="00DE782E">
        <w:rPr>
          <w:rFonts w:ascii="Arial" w:hAnsi="Arial" w:cs="Arial"/>
          <w:color w:val="000000"/>
        </w:rPr>
        <w:t>nueve</w:t>
      </w:r>
      <w:r w:rsidR="00B234FB" w:rsidRPr="002561A1">
        <w:rPr>
          <w:rFonts w:ascii="Arial" w:hAnsi="Arial" w:cs="Arial"/>
          <w:color w:val="000000"/>
        </w:rPr>
        <w:t>.</w:t>
      </w:r>
    </w:p>
    <w:p w:rsidR="006A7EE7" w:rsidRPr="002561A1" w:rsidRDefault="006A7EE7" w:rsidP="006A7EE7">
      <w:pPr>
        <w:pStyle w:val="NormalWeb"/>
        <w:spacing w:before="0" w:beforeAutospacing="0" w:after="0" w:afterAutospacing="0" w:line="360" w:lineRule="auto"/>
        <w:ind w:left="1134"/>
        <w:contextualSpacing/>
        <w:mirrorIndents/>
        <w:jc w:val="both"/>
        <w:rPr>
          <w:rFonts w:ascii="Arial" w:hAnsi="Arial" w:cs="Arial"/>
          <w:color w:val="000000"/>
        </w:rPr>
      </w:pPr>
    </w:p>
    <w:p w:rsidR="00944A72" w:rsidRPr="00A82313" w:rsidRDefault="006A7EE7" w:rsidP="003618D0">
      <w:pPr>
        <w:pStyle w:val="NormalWeb"/>
        <w:spacing w:afterAutospacing="0" w:line="360" w:lineRule="auto"/>
        <w:ind w:left="-283" w:right="-283"/>
        <w:contextualSpacing/>
        <w:mirrorIndents/>
        <w:jc w:val="both"/>
        <w:rPr>
          <w:rFonts w:ascii="Arial" w:hAnsi="Arial" w:cs="Arial"/>
          <w:b/>
          <w:color w:val="000000"/>
          <w:sz w:val="23"/>
          <w:szCs w:val="23"/>
        </w:rPr>
      </w:pPr>
      <w:r w:rsidRPr="00A82313">
        <w:rPr>
          <w:rFonts w:ascii="Arial" w:hAnsi="Arial" w:cs="Arial"/>
          <w:b/>
          <w:color w:val="000000"/>
          <w:sz w:val="23"/>
          <w:szCs w:val="23"/>
        </w:rPr>
        <w:t>Sentencia</w:t>
      </w:r>
      <w:r w:rsidR="003618D0" w:rsidRPr="00A82313">
        <w:rPr>
          <w:rFonts w:ascii="Arial" w:hAnsi="Arial" w:cs="Arial"/>
          <w:b/>
          <w:color w:val="000000"/>
          <w:sz w:val="23"/>
          <w:szCs w:val="23"/>
        </w:rPr>
        <w:t xml:space="preserve"> definitiva</w:t>
      </w:r>
      <w:r w:rsidRPr="00A82313">
        <w:rPr>
          <w:rFonts w:ascii="Arial" w:hAnsi="Arial" w:cs="Arial"/>
          <w:b/>
          <w:color w:val="000000"/>
          <w:sz w:val="23"/>
          <w:szCs w:val="23"/>
        </w:rPr>
        <w:t xml:space="preserve"> </w:t>
      </w:r>
      <w:r w:rsidRPr="00A82313">
        <w:rPr>
          <w:rFonts w:ascii="Arial" w:hAnsi="Arial" w:cs="Arial"/>
          <w:color w:val="000000"/>
          <w:sz w:val="23"/>
          <w:szCs w:val="23"/>
        </w:rPr>
        <w:t>que</w:t>
      </w:r>
      <w:r w:rsidR="00AE7FC6" w:rsidRPr="00A82313">
        <w:rPr>
          <w:rFonts w:ascii="Arial" w:hAnsi="Arial" w:cs="Arial"/>
          <w:color w:val="000000"/>
          <w:sz w:val="23"/>
          <w:szCs w:val="23"/>
        </w:rPr>
        <w:t xml:space="preserve"> </w:t>
      </w:r>
      <w:r w:rsidR="008A029D" w:rsidRPr="00A82313">
        <w:rPr>
          <w:rFonts w:ascii="Arial" w:hAnsi="Arial" w:cs="Arial"/>
          <w:color w:val="000000"/>
          <w:sz w:val="23"/>
          <w:szCs w:val="23"/>
        </w:rPr>
        <w:t xml:space="preserve">desestima los </w:t>
      </w:r>
      <w:r w:rsidR="00DA49F0" w:rsidRPr="00A82313">
        <w:rPr>
          <w:rFonts w:ascii="Arial" w:hAnsi="Arial" w:cs="Arial"/>
          <w:color w:val="000000"/>
          <w:sz w:val="23"/>
          <w:szCs w:val="23"/>
        </w:rPr>
        <w:t xml:space="preserve">agravios hechos valer en los </w:t>
      </w:r>
      <w:r w:rsidR="004F23B5" w:rsidRPr="00A82313">
        <w:rPr>
          <w:rFonts w:ascii="Arial" w:hAnsi="Arial" w:cs="Arial"/>
          <w:color w:val="000000"/>
          <w:sz w:val="23"/>
          <w:szCs w:val="23"/>
        </w:rPr>
        <w:t>juicio</w:t>
      </w:r>
      <w:r w:rsidR="00DA49F0" w:rsidRPr="00A82313">
        <w:rPr>
          <w:rFonts w:ascii="Arial" w:hAnsi="Arial" w:cs="Arial"/>
          <w:color w:val="000000"/>
          <w:sz w:val="23"/>
          <w:szCs w:val="23"/>
        </w:rPr>
        <w:t>s</w:t>
      </w:r>
      <w:r w:rsidR="004F23B5" w:rsidRPr="00A82313">
        <w:rPr>
          <w:rFonts w:ascii="Arial" w:hAnsi="Arial" w:cs="Arial"/>
          <w:color w:val="000000"/>
          <w:sz w:val="23"/>
          <w:szCs w:val="23"/>
        </w:rPr>
        <w:t xml:space="preserve"> para la protección de los derechos político-electorales del ciudadano </w:t>
      </w:r>
      <w:r w:rsidR="00DA49F0" w:rsidRPr="00A82313">
        <w:rPr>
          <w:rFonts w:ascii="Arial" w:hAnsi="Arial" w:cs="Arial"/>
          <w:color w:val="000000"/>
          <w:sz w:val="23"/>
          <w:szCs w:val="23"/>
        </w:rPr>
        <w:t>TEEA-JDC-035/2019 y acumulados</w:t>
      </w:r>
      <w:r w:rsidR="00F144C9" w:rsidRPr="00A82313">
        <w:rPr>
          <w:rFonts w:ascii="Arial" w:hAnsi="Arial" w:cs="Arial"/>
          <w:color w:val="000000"/>
          <w:sz w:val="23"/>
          <w:szCs w:val="23"/>
        </w:rPr>
        <w:t>,</w:t>
      </w:r>
      <w:r w:rsidR="000C5586" w:rsidRPr="00A82313">
        <w:rPr>
          <w:rFonts w:ascii="Arial" w:hAnsi="Arial" w:cs="Arial"/>
          <w:color w:val="000000"/>
          <w:sz w:val="23"/>
          <w:szCs w:val="23"/>
        </w:rPr>
        <w:t xml:space="preserve"> por la inexistencia de una violación a sus derechos-político electorales</w:t>
      </w:r>
      <w:r w:rsidR="00A82313" w:rsidRPr="00A82313">
        <w:rPr>
          <w:rFonts w:ascii="Arial" w:hAnsi="Arial" w:cs="Arial"/>
          <w:color w:val="000000"/>
          <w:sz w:val="23"/>
          <w:szCs w:val="23"/>
        </w:rPr>
        <w:t>, en relación a los actos específicamente reclamados en esta oportunidad</w:t>
      </w:r>
      <w:r w:rsidR="000C5586" w:rsidRPr="00A82313">
        <w:rPr>
          <w:rFonts w:ascii="Arial" w:hAnsi="Arial" w:cs="Arial"/>
          <w:color w:val="000000"/>
          <w:sz w:val="23"/>
          <w:szCs w:val="23"/>
        </w:rPr>
        <w:t>.</w:t>
      </w:r>
    </w:p>
    <w:p w:rsidR="006A7EE7" w:rsidRPr="002561A1" w:rsidRDefault="006A7EE7" w:rsidP="00944A72">
      <w:pPr>
        <w:pStyle w:val="NormalWeb"/>
        <w:spacing w:before="0" w:beforeAutospacing="0" w:after="0" w:afterAutospacing="0" w:line="360" w:lineRule="auto"/>
        <w:contextualSpacing/>
        <w:mirrorIndents/>
        <w:jc w:val="center"/>
        <w:rPr>
          <w:rFonts w:ascii="Arial" w:hAnsi="Arial" w:cs="Arial"/>
          <w:b/>
          <w:color w:val="000000"/>
        </w:rPr>
      </w:pPr>
      <w:r w:rsidRPr="002561A1">
        <w:rPr>
          <w:rFonts w:ascii="Arial" w:hAnsi="Arial" w:cs="Arial"/>
          <w:b/>
          <w:color w:val="000000"/>
        </w:rPr>
        <w:t>GLOSARIO</w:t>
      </w:r>
    </w:p>
    <w:tbl>
      <w:tblPr>
        <w:tblStyle w:val="Tablaconcuadrcula"/>
        <w:tblW w:w="822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5428"/>
      </w:tblGrid>
      <w:tr w:rsidR="005B3CEB" w:rsidRPr="00D01CA2" w:rsidTr="00EB09A3">
        <w:tc>
          <w:tcPr>
            <w:tcW w:w="2794" w:type="dxa"/>
            <w:hideMark/>
          </w:tcPr>
          <w:p w:rsidR="005B3CEB" w:rsidRPr="00D01CA2" w:rsidRDefault="005B3CEB"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Constitución:</w:t>
            </w:r>
          </w:p>
        </w:tc>
        <w:tc>
          <w:tcPr>
            <w:tcW w:w="5428" w:type="dxa"/>
          </w:tcPr>
          <w:p w:rsidR="005B3CEB" w:rsidRPr="00D01CA2" w:rsidRDefault="005B3CEB" w:rsidP="008724E5">
            <w:pPr>
              <w:pStyle w:val="NormalWeb"/>
              <w:spacing w:before="0" w:beforeAutospacing="0" w:after="0" w:afterAutospacing="0"/>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Constitución Política de los Estados Unidos Mexicanos.</w:t>
            </w:r>
          </w:p>
          <w:p w:rsidR="005B3CEB" w:rsidRPr="00D01CA2" w:rsidRDefault="005B3CEB"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5B3CEB" w:rsidRPr="00D01CA2" w:rsidTr="00EB09A3">
        <w:tc>
          <w:tcPr>
            <w:tcW w:w="2794" w:type="dxa"/>
          </w:tcPr>
          <w:p w:rsidR="005B3CEB" w:rsidRPr="00D01CA2" w:rsidRDefault="005F21DD"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t>Código Electoral:</w:t>
            </w:r>
          </w:p>
        </w:tc>
        <w:tc>
          <w:tcPr>
            <w:tcW w:w="5428" w:type="dxa"/>
          </w:tcPr>
          <w:p w:rsidR="005B3CEB" w:rsidRDefault="005F21DD" w:rsidP="008724E5">
            <w:pPr>
              <w:pStyle w:val="NormalWeb"/>
              <w:spacing w:before="0" w:beforeAutospacing="0" w:after="0" w:afterAutospacing="0"/>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Código Electoral para el Estado de Aguascalientes.</w:t>
            </w:r>
          </w:p>
          <w:p w:rsidR="005F21DD" w:rsidRPr="00D01CA2" w:rsidRDefault="005F21DD"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5B3CEB" w:rsidRPr="00D01CA2" w:rsidTr="00EB09A3">
        <w:tc>
          <w:tcPr>
            <w:tcW w:w="2794" w:type="dxa"/>
          </w:tcPr>
          <w:p w:rsidR="005B3CEB" w:rsidRPr="00D01CA2" w:rsidRDefault="00D97E02"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M</w:t>
            </w:r>
            <w:r w:rsidR="00A714BA" w:rsidRPr="00D01CA2">
              <w:rPr>
                <w:rFonts w:ascii="Arial" w:hAnsi="Arial" w:cs="Arial"/>
                <w:b/>
                <w:color w:val="000000"/>
                <w:sz w:val="20"/>
                <w:szCs w:val="20"/>
                <w:lang w:eastAsia="en-US"/>
              </w:rPr>
              <w:t>ORENA</w:t>
            </w:r>
            <w:r w:rsidR="005B3CEB" w:rsidRPr="00D01CA2">
              <w:rPr>
                <w:rFonts w:ascii="Arial" w:hAnsi="Arial" w:cs="Arial"/>
                <w:b/>
                <w:color w:val="000000"/>
                <w:sz w:val="20"/>
                <w:szCs w:val="20"/>
                <w:lang w:eastAsia="en-US"/>
              </w:rPr>
              <w:t>:</w:t>
            </w:r>
          </w:p>
        </w:tc>
        <w:tc>
          <w:tcPr>
            <w:tcW w:w="5428" w:type="dxa"/>
          </w:tcPr>
          <w:p w:rsidR="005B3CEB" w:rsidRPr="00D01CA2" w:rsidRDefault="005B3CEB" w:rsidP="008724E5">
            <w:pPr>
              <w:pStyle w:val="NormalWeb"/>
              <w:spacing w:before="0" w:beforeAutospacing="0" w:after="0" w:afterAutospacing="0"/>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 xml:space="preserve">Partido </w:t>
            </w:r>
            <w:r w:rsidR="00B90C0A" w:rsidRPr="00D01CA2">
              <w:rPr>
                <w:rFonts w:ascii="Arial" w:hAnsi="Arial" w:cs="Arial"/>
                <w:color w:val="000000"/>
                <w:sz w:val="20"/>
                <w:szCs w:val="20"/>
                <w:lang w:eastAsia="en-US"/>
              </w:rPr>
              <w:t>Político M</w:t>
            </w:r>
            <w:r w:rsidR="00A714BA" w:rsidRPr="00D01CA2">
              <w:rPr>
                <w:rFonts w:ascii="Arial" w:hAnsi="Arial" w:cs="Arial"/>
                <w:color w:val="000000"/>
                <w:sz w:val="20"/>
                <w:szCs w:val="20"/>
                <w:lang w:eastAsia="en-US"/>
              </w:rPr>
              <w:t>ORENA</w:t>
            </w:r>
            <w:r w:rsidRPr="00D01CA2">
              <w:rPr>
                <w:rFonts w:ascii="Arial" w:hAnsi="Arial" w:cs="Arial"/>
                <w:color w:val="000000"/>
                <w:sz w:val="20"/>
                <w:szCs w:val="20"/>
                <w:lang w:eastAsia="en-US"/>
              </w:rPr>
              <w:t>.</w:t>
            </w:r>
          </w:p>
          <w:p w:rsidR="00D46633" w:rsidRPr="00D01CA2" w:rsidRDefault="00D46633"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A24587" w:rsidRPr="00D01CA2" w:rsidTr="00EB09A3">
        <w:tc>
          <w:tcPr>
            <w:tcW w:w="2794" w:type="dxa"/>
          </w:tcPr>
          <w:p w:rsidR="00A24587" w:rsidRDefault="00A24587"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t>Comisión Nacional de Elecciones:</w:t>
            </w:r>
          </w:p>
          <w:p w:rsidR="00F144C9" w:rsidRDefault="00F144C9" w:rsidP="008724E5">
            <w:pPr>
              <w:pStyle w:val="NormalWeb"/>
              <w:spacing w:before="0" w:beforeAutospacing="0" w:after="0" w:afterAutospacing="0"/>
              <w:contextualSpacing/>
              <w:mirrorIndents/>
              <w:jc w:val="right"/>
              <w:rPr>
                <w:rFonts w:ascii="Arial" w:hAnsi="Arial" w:cs="Arial"/>
                <w:b/>
                <w:color w:val="000000"/>
                <w:sz w:val="20"/>
                <w:szCs w:val="20"/>
                <w:lang w:eastAsia="en-US"/>
              </w:rPr>
            </w:pPr>
          </w:p>
        </w:tc>
        <w:tc>
          <w:tcPr>
            <w:tcW w:w="5428" w:type="dxa"/>
          </w:tcPr>
          <w:p w:rsidR="00A24587" w:rsidRDefault="00A24587" w:rsidP="008724E5">
            <w:pPr>
              <w:pStyle w:val="NormalWeb"/>
              <w:spacing w:before="0" w:beforeAutospacing="0" w:after="0" w:afterAutospacing="0"/>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Comisión Nacional de elecciones de MORENA.</w:t>
            </w:r>
          </w:p>
        </w:tc>
      </w:tr>
      <w:tr w:rsidR="00722CA5" w:rsidRPr="00D01CA2" w:rsidTr="00EB09A3">
        <w:tc>
          <w:tcPr>
            <w:tcW w:w="2794" w:type="dxa"/>
          </w:tcPr>
          <w:p w:rsidR="00722CA5" w:rsidRDefault="00722CA5"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t xml:space="preserve">Comité Ejecutivo Nacional: </w:t>
            </w:r>
          </w:p>
          <w:p w:rsidR="00722CA5" w:rsidRDefault="00722CA5" w:rsidP="008724E5">
            <w:pPr>
              <w:pStyle w:val="NormalWeb"/>
              <w:spacing w:before="0" w:beforeAutospacing="0" w:after="0" w:afterAutospacing="0"/>
              <w:contextualSpacing/>
              <w:mirrorIndents/>
              <w:jc w:val="right"/>
              <w:rPr>
                <w:rFonts w:ascii="Arial" w:hAnsi="Arial" w:cs="Arial"/>
                <w:b/>
                <w:color w:val="000000"/>
                <w:sz w:val="20"/>
                <w:szCs w:val="20"/>
                <w:lang w:eastAsia="en-US"/>
              </w:rPr>
            </w:pPr>
          </w:p>
        </w:tc>
        <w:tc>
          <w:tcPr>
            <w:tcW w:w="5428" w:type="dxa"/>
          </w:tcPr>
          <w:p w:rsidR="00722CA5" w:rsidRDefault="00722CA5" w:rsidP="008724E5">
            <w:pPr>
              <w:pStyle w:val="NormalWeb"/>
              <w:spacing w:before="0" w:beforeAutospacing="0" w:after="0" w:afterAutospacing="0"/>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Comité Ejecutivo Nacional de MORENA.</w:t>
            </w:r>
          </w:p>
        </w:tc>
      </w:tr>
      <w:tr w:rsidR="005B3CEB" w:rsidRPr="00D01CA2" w:rsidTr="00EB09A3">
        <w:tc>
          <w:tcPr>
            <w:tcW w:w="2794" w:type="dxa"/>
          </w:tcPr>
          <w:p w:rsidR="005B3CEB" w:rsidRPr="00D01CA2" w:rsidRDefault="004F23B5"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t>Representante de MORENA</w:t>
            </w:r>
            <w:r w:rsidR="005B3CEB" w:rsidRPr="00D01CA2">
              <w:rPr>
                <w:rFonts w:ascii="Arial" w:hAnsi="Arial" w:cs="Arial"/>
                <w:b/>
                <w:color w:val="000000"/>
                <w:sz w:val="20"/>
                <w:szCs w:val="20"/>
                <w:lang w:eastAsia="en-US"/>
              </w:rPr>
              <w:t>:</w:t>
            </w:r>
          </w:p>
        </w:tc>
        <w:tc>
          <w:tcPr>
            <w:tcW w:w="5428" w:type="dxa"/>
          </w:tcPr>
          <w:p w:rsidR="005B3CEB" w:rsidRPr="00D01CA2" w:rsidRDefault="004F23B5" w:rsidP="008724E5">
            <w:pPr>
              <w:pStyle w:val="NormalWeb"/>
              <w:spacing w:before="0" w:beforeAutospacing="0" w:after="0" w:afterAutospacing="0"/>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Representante legal de MORENA ante el Instituto Estatal Electoral de Aguascalientes.</w:t>
            </w:r>
          </w:p>
          <w:p w:rsidR="00D46633" w:rsidRPr="00D01CA2" w:rsidRDefault="00D46633"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EB09A3" w:rsidRPr="00D01CA2" w:rsidTr="00EB09A3">
        <w:tc>
          <w:tcPr>
            <w:tcW w:w="2794" w:type="dxa"/>
          </w:tcPr>
          <w:p w:rsidR="00EB09A3" w:rsidRPr="00D01CA2" w:rsidRDefault="00EB09A3"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Pr>
                <w:rFonts w:ascii="Arial" w:hAnsi="Arial" w:cs="Arial"/>
                <w:b/>
                <w:color w:val="000000"/>
                <w:sz w:val="20"/>
                <w:szCs w:val="20"/>
                <w:lang w:eastAsia="en-US"/>
              </w:rPr>
              <w:t>Autoridades responsables:</w:t>
            </w:r>
          </w:p>
        </w:tc>
        <w:tc>
          <w:tcPr>
            <w:tcW w:w="5428" w:type="dxa"/>
          </w:tcPr>
          <w:p w:rsidR="00EB09A3" w:rsidRPr="00D01CA2" w:rsidRDefault="00EB09A3" w:rsidP="00B90C0A">
            <w:pPr>
              <w:pStyle w:val="NormalWeb"/>
              <w:spacing w:before="0" w:beforeAutospacing="0" w:after="0" w:afterAutospacing="0"/>
              <w:contextualSpacing/>
              <w:mirrorIndents/>
              <w:jc w:val="both"/>
              <w:rPr>
                <w:rFonts w:ascii="Arial" w:hAnsi="Arial" w:cs="Arial"/>
                <w:color w:val="000000"/>
                <w:sz w:val="20"/>
                <w:szCs w:val="20"/>
                <w:lang w:eastAsia="en-US"/>
              </w:rPr>
            </w:pPr>
            <w:r>
              <w:rPr>
                <w:rFonts w:ascii="Arial" w:hAnsi="Arial" w:cs="Arial"/>
                <w:color w:val="000000"/>
                <w:sz w:val="20"/>
                <w:szCs w:val="20"/>
                <w:lang w:eastAsia="en-US"/>
              </w:rPr>
              <w:t>Representante legal de MORENA ante el Instituto Estatal Electoral y/o Ignacio Cuitláhuac Cardona Campos, delegado en funciones de presidente de MORENA en Aguascalientes.</w:t>
            </w:r>
          </w:p>
        </w:tc>
      </w:tr>
      <w:tr w:rsidR="00D902CB" w:rsidRPr="00D01CA2" w:rsidTr="00EB09A3">
        <w:tc>
          <w:tcPr>
            <w:tcW w:w="2794" w:type="dxa"/>
          </w:tcPr>
          <w:p w:rsidR="00D902CB" w:rsidRPr="00D01CA2" w:rsidRDefault="00D902CB"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Convocatoria:</w:t>
            </w:r>
          </w:p>
        </w:tc>
        <w:tc>
          <w:tcPr>
            <w:tcW w:w="5428" w:type="dxa"/>
          </w:tcPr>
          <w:p w:rsidR="00D902CB" w:rsidRPr="00D01CA2" w:rsidRDefault="00D902CB" w:rsidP="00B90C0A">
            <w:pPr>
              <w:pStyle w:val="NormalWeb"/>
              <w:spacing w:before="0" w:beforeAutospacing="0" w:after="0" w:afterAutospacing="0"/>
              <w:contextualSpacing/>
              <w:mirrorIndents/>
              <w:jc w:val="both"/>
              <w:rPr>
                <w:rFonts w:ascii="Arial" w:hAnsi="Arial" w:cs="Arial"/>
                <w:sz w:val="20"/>
                <w:szCs w:val="20"/>
              </w:rPr>
            </w:pPr>
            <w:r w:rsidRPr="00D01CA2">
              <w:rPr>
                <w:rFonts w:ascii="Arial" w:hAnsi="Arial" w:cs="Arial"/>
                <w:color w:val="000000"/>
                <w:sz w:val="20"/>
                <w:szCs w:val="20"/>
                <w:lang w:eastAsia="en-US"/>
              </w:rPr>
              <w:t xml:space="preserve">Convocatoria </w:t>
            </w:r>
            <w:r w:rsidR="0049330B" w:rsidRPr="00D01CA2">
              <w:rPr>
                <w:rFonts w:ascii="Arial" w:hAnsi="Arial" w:cs="Arial"/>
                <w:sz w:val="20"/>
                <w:szCs w:val="20"/>
              </w:rPr>
              <w:t xml:space="preserve">al proceso de selección interna de candidatos/as para </w:t>
            </w:r>
            <w:r w:rsidR="00DE782E" w:rsidRPr="00D01CA2">
              <w:rPr>
                <w:rFonts w:ascii="Arial" w:hAnsi="Arial" w:cs="Arial"/>
                <w:sz w:val="20"/>
                <w:szCs w:val="20"/>
              </w:rPr>
              <w:t xml:space="preserve">presidentes/as municipales, para </w:t>
            </w:r>
            <w:r w:rsidR="0049330B" w:rsidRPr="00D01CA2">
              <w:rPr>
                <w:rFonts w:ascii="Arial" w:hAnsi="Arial" w:cs="Arial"/>
                <w:sz w:val="20"/>
                <w:szCs w:val="20"/>
              </w:rPr>
              <w:t xml:space="preserve">ser postulados/as en </w:t>
            </w:r>
            <w:r w:rsidR="00DE782E" w:rsidRPr="00D01CA2">
              <w:rPr>
                <w:rFonts w:ascii="Arial" w:hAnsi="Arial" w:cs="Arial"/>
                <w:sz w:val="20"/>
                <w:szCs w:val="20"/>
              </w:rPr>
              <w:t xml:space="preserve">el proceso electoral </w:t>
            </w:r>
            <w:r w:rsidR="0049330B" w:rsidRPr="00D01CA2">
              <w:rPr>
                <w:rFonts w:ascii="Arial" w:hAnsi="Arial" w:cs="Arial"/>
                <w:sz w:val="20"/>
                <w:szCs w:val="20"/>
              </w:rPr>
              <w:t>201</w:t>
            </w:r>
            <w:r w:rsidR="00DE782E" w:rsidRPr="00D01CA2">
              <w:rPr>
                <w:rFonts w:ascii="Arial" w:hAnsi="Arial" w:cs="Arial"/>
                <w:sz w:val="20"/>
                <w:szCs w:val="20"/>
              </w:rPr>
              <w:t>8</w:t>
            </w:r>
            <w:r w:rsidR="0049330B" w:rsidRPr="00D01CA2">
              <w:rPr>
                <w:rFonts w:ascii="Arial" w:hAnsi="Arial" w:cs="Arial"/>
                <w:sz w:val="20"/>
                <w:szCs w:val="20"/>
              </w:rPr>
              <w:t>/201</w:t>
            </w:r>
            <w:r w:rsidR="00DE782E" w:rsidRPr="00D01CA2">
              <w:rPr>
                <w:rFonts w:ascii="Arial" w:hAnsi="Arial" w:cs="Arial"/>
                <w:sz w:val="20"/>
                <w:szCs w:val="20"/>
              </w:rPr>
              <w:t>9</w:t>
            </w:r>
            <w:r w:rsidR="0049330B" w:rsidRPr="00D01CA2">
              <w:rPr>
                <w:rFonts w:ascii="Arial" w:hAnsi="Arial" w:cs="Arial"/>
                <w:sz w:val="20"/>
                <w:szCs w:val="20"/>
              </w:rPr>
              <w:t xml:space="preserve"> por el </w:t>
            </w:r>
            <w:r w:rsidR="0049330B" w:rsidRPr="00D01CA2">
              <w:rPr>
                <w:rFonts w:ascii="Arial" w:hAnsi="Arial" w:cs="Arial"/>
                <w:sz w:val="20"/>
                <w:szCs w:val="20"/>
              </w:rPr>
              <w:lastRenderedPageBreak/>
              <w:t xml:space="preserve">partido MORENA </w:t>
            </w:r>
            <w:r w:rsidR="00DE782E" w:rsidRPr="00D01CA2">
              <w:rPr>
                <w:rFonts w:ascii="Arial" w:hAnsi="Arial" w:cs="Arial"/>
                <w:sz w:val="20"/>
                <w:szCs w:val="20"/>
              </w:rPr>
              <w:t xml:space="preserve">en el Estado de Aguascalientes, </w:t>
            </w:r>
            <w:r w:rsidR="0049330B" w:rsidRPr="00D01CA2">
              <w:rPr>
                <w:rFonts w:ascii="Arial" w:hAnsi="Arial" w:cs="Arial"/>
                <w:sz w:val="20"/>
                <w:szCs w:val="20"/>
              </w:rPr>
              <w:t xml:space="preserve">publicada el </w:t>
            </w:r>
            <w:r w:rsidR="00DE782E" w:rsidRPr="00D01CA2">
              <w:rPr>
                <w:rFonts w:ascii="Arial" w:hAnsi="Arial" w:cs="Arial"/>
                <w:sz w:val="20"/>
                <w:szCs w:val="20"/>
              </w:rPr>
              <w:t xml:space="preserve">diez de enero de dos mil </w:t>
            </w:r>
            <w:r w:rsidR="0049330B" w:rsidRPr="00D01CA2">
              <w:rPr>
                <w:rFonts w:ascii="Arial" w:hAnsi="Arial" w:cs="Arial"/>
                <w:sz w:val="20"/>
                <w:szCs w:val="20"/>
              </w:rPr>
              <w:t>diecinueve</w:t>
            </w:r>
            <w:r w:rsidR="00DE782E" w:rsidRPr="00D01CA2">
              <w:rPr>
                <w:rFonts w:ascii="Arial" w:hAnsi="Arial" w:cs="Arial"/>
                <w:sz w:val="20"/>
                <w:szCs w:val="20"/>
              </w:rPr>
              <w:t>.</w:t>
            </w:r>
            <w:r w:rsidR="0049330B" w:rsidRPr="00D01CA2">
              <w:rPr>
                <w:rFonts w:ascii="Arial" w:hAnsi="Arial" w:cs="Arial"/>
                <w:sz w:val="20"/>
                <w:szCs w:val="20"/>
              </w:rPr>
              <w:t xml:space="preserve"> </w:t>
            </w:r>
          </w:p>
          <w:p w:rsidR="0049330B" w:rsidRPr="00D01CA2" w:rsidRDefault="0049330B" w:rsidP="00B90C0A">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8A029D" w:rsidRPr="00D01CA2" w:rsidTr="00EB09A3">
        <w:tc>
          <w:tcPr>
            <w:tcW w:w="2794" w:type="dxa"/>
          </w:tcPr>
          <w:p w:rsidR="008A029D" w:rsidRPr="00D01CA2" w:rsidRDefault="008A029D" w:rsidP="008A029D">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lastRenderedPageBreak/>
              <w:t>Tribunal Electoral:</w:t>
            </w:r>
          </w:p>
          <w:p w:rsidR="008A029D" w:rsidRPr="00D01CA2" w:rsidRDefault="008A029D" w:rsidP="008724E5">
            <w:pPr>
              <w:pStyle w:val="NormalWeb"/>
              <w:spacing w:before="0" w:beforeAutospacing="0" w:after="0" w:afterAutospacing="0"/>
              <w:contextualSpacing/>
              <w:mirrorIndents/>
              <w:jc w:val="right"/>
              <w:rPr>
                <w:rFonts w:ascii="Arial" w:hAnsi="Arial" w:cs="Arial"/>
                <w:b/>
                <w:color w:val="000000"/>
                <w:sz w:val="20"/>
                <w:szCs w:val="20"/>
                <w:lang w:eastAsia="en-US"/>
              </w:rPr>
            </w:pPr>
          </w:p>
        </w:tc>
        <w:tc>
          <w:tcPr>
            <w:tcW w:w="5428" w:type="dxa"/>
          </w:tcPr>
          <w:p w:rsidR="008A029D" w:rsidRPr="00D01CA2" w:rsidRDefault="008A029D" w:rsidP="008A029D">
            <w:pPr>
              <w:pStyle w:val="NormalWeb"/>
              <w:spacing w:before="0" w:beforeAutospacing="0" w:after="0" w:afterAutospacing="0"/>
              <w:contextualSpacing/>
              <w:mirrorIndents/>
              <w:jc w:val="both"/>
              <w:rPr>
                <w:rFonts w:ascii="Arial" w:hAnsi="Arial" w:cs="Arial"/>
                <w:color w:val="000000"/>
                <w:sz w:val="20"/>
                <w:szCs w:val="20"/>
                <w:lang w:eastAsia="en-US"/>
              </w:rPr>
            </w:pPr>
            <w:r w:rsidRPr="00D01CA2">
              <w:rPr>
                <w:rFonts w:ascii="Arial" w:hAnsi="Arial" w:cs="Arial"/>
                <w:color w:val="000000"/>
                <w:sz w:val="20"/>
                <w:szCs w:val="20"/>
                <w:lang w:eastAsia="en-US"/>
              </w:rPr>
              <w:t>Tribunal Electoral del Estado de Aguascalientes.</w:t>
            </w:r>
          </w:p>
          <w:p w:rsidR="008A029D" w:rsidRPr="00D01CA2" w:rsidRDefault="008A029D"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5B3CEB" w:rsidRPr="00D01CA2" w:rsidTr="00EB09A3">
        <w:tc>
          <w:tcPr>
            <w:tcW w:w="2794" w:type="dxa"/>
          </w:tcPr>
          <w:p w:rsidR="00951054" w:rsidRPr="00D01CA2" w:rsidRDefault="00A91FAD"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Dict</w:t>
            </w:r>
            <w:r w:rsidR="0060279A" w:rsidRPr="00D01CA2">
              <w:rPr>
                <w:rFonts w:ascii="Arial" w:hAnsi="Arial" w:cs="Arial"/>
                <w:b/>
                <w:color w:val="000000"/>
                <w:sz w:val="20"/>
                <w:szCs w:val="20"/>
                <w:lang w:eastAsia="en-US"/>
              </w:rPr>
              <w:t>a</w:t>
            </w:r>
            <w:r w:rsidRPr="00D01CA2">
              <w:rPr>
                <w:rFonts w:ascii="Arial" w:hAnsi="Arial" w:cs="Arial"/>
                <w:b/>
                <w:color w:val="000000"/>
                <w:sz w:val="20"/>
                <w:szCs w:val="20"/>
                <w:lang w:eastAsia="en-US"/>
              </w:rPr>
              <w:t>men</w:t>
            </w:r>
            <w:r w:rsidR="00951054" w:rsidRPr="00D01CA2">
              <w:rPr>
                <w:rFonts w:ascii="Arial" w:hAnsi="Arial" w:cs="Arial"/>
                <w:b/>
                <w:color w:val="000000"/>
                <w:sz w:val="20"/>
                <w:szCs w:val="20"/>
                <w:lang w:eastAsia="en-US"/>
              </w:rPr>
              <w:t>:</w:t>
            </w:r>
          </w:p>
          <w:p w:rsidR="00951054" w:rsidRPr="00D01CA2" w:rsidRDefault="00951054" w:rsidP="008724E5">
            <w:pPr>
              <w:pStyle w:val="NormalWeb"/>
              <w:spacing w:before="0" w:beforeAutospacing="0" w:after="0" w:afterAutospacing="0"/>
              <w:contextualSpacing/>
              <w:mirrorIndents/>
              <w:jc w:val="right"/>
              <w:rPr>
                <w:rFonts w:ascii="Arial" w:hAnsi="Arial" w:cs="Arial"/>
                <w:b/>
                <w:color w:val="000000"/>
                <w:sz w:val="20"/>
                <w:szCs w:val="20"/>
                <w:lang w:eastAsia="en-US"/>
              </w:rPr>
            </w:pPr>
          </w:p>
        </w:tc>
        <w:tc>
          <w:tcPr>
            <w:tcW w:w="5428" w:type="dxa"/>
          </w:tcPr>
          <w:p w:rsidR="00951054" w:rsidRPr="00D01CA2" w:rsidRDefault="00951054" w:rsidP="008724E5">
            <w:pPr>
              <w:pStyle w:val="NormalWeb"/>
              <w:spacing w:before="0" w:beforeAutospacing="0" w:after="0" w:afterAutospacing="0"/>
              <w:contextualSpacing/>
              <w:mirrorIndents/>
              <w:jc w:val="both"/>
              <w:rPr>
                <w:rFonts w:ascii="Arial" w:hAnsi="Arial" w:cs="Arial"/>
                <w:color w:val="000000"/>
                <w:sz w:val="20"/>
                <w:szCs w:val="20"/>
                <w:lang w:eastAsia="en-US"/>
              </w:rPr>
            </w:pPr>
            <w:r w:rsidRPr="00D01CA2">
              <w:rPr>
                <w:rFonts w:ascii="Arial" w:hAnsi="Arial" w:cs="Arial"/>
                <w:sz w:val="20"/>
                <w:szCs w:val="20"/>
              </w:rPr>
              <w:t xml:space="preserve">Dictamen </w:t>
            </w:r>
            <w:r w:rsidR="004F23B5">
              <w:rPr>
                <w:rFonts w:ascii="Arial" w:hAnsi="Arial" w:cs="Arial"/>
                <w:sz w:val="20"/>
                <w:szCs w:val="20"/>
              </w:rPr>
              <w:t xml:space="preserve">de fecha </w:t>
            </w:r>
            <w:r w:rsidR="008A029D">
              <w:rPr>
                <w:rFonts w:ascii="Arial" w:hAnsi="Arial" w:cs="Arial"/>
                <w:sz w:val="20"/>
                <w:szCs w:val="20"/>
              </w:rPr>
              <w:t>cinco</w:t>
            </w:r>
            <w:r w:rsidR="005F21DD">
              <w:rPr>
                <w:rFonts w:ascii="Arial" w:hAnsi="Arial" w:cs="Arial"/>
                <w:sz w:val="20"/>
                <w:szCs w:val="20"/>
              </w:rPr>
              <w:t xml:space="preserve"> </w:t>
            </w:r>
            <w:r w:rsidR="004F23B5">
              <w:rPr>
                <w:rFonts w:ascii="Arial" w:hAnsi="Arial" w:cs="Arial"/>
                <w:sz w:val="20"/>
                <w:szCs w:val="20"/>
              </w:rPr>
              <w:t>de abril de dos mil diecinueve, emitido por</w:t>
            </w:r>
            <w:r w:rsidRPr="00D01CA2">
              <w:rPr>
                <w:rFonts w:ascii="Arial" w:hAnsi="Arial" w:cs="Arial"/>
                <w:sz w:val="20"/>
                <w:szCs w:val="20"/>
              </w:rPr>
              <w:t xml:space="preserve"> la Comisión Nacional de Elecciones sobre el Proceso Interno de Selección de Candidatos/as para </w:t>
            </w:r>
            <w:r w:rsidR="0060279A" w:rsidRPr="00D01CA2">
              <w:rPr>
                <w:rFonts w:ascii="Arial" w:hAnsi="Arial" w:cs="Arial"/>
                <w:sz w:val="20"/>
                <w:szCs w:val="20"/>
              </w:rPr>
              <w:t xml:space="preserve">presidentes municipales </w:t>
            </w:r>
            <w:r w:rsidRPr="00D01CA2">
              <w:rPr>
                <w:rFonts w:ascii="Arial" w:hAnsi="Arial" w:cs="Arial"/>
                <w:sz w:val="20"/>
                <w:szCs w:val="20"/>
              </w:rPr>
              <w:t>del Estado de Aguascalientes, para el Proceso Electoral 201</w:t>
            </w:r>
            <w:r w:rsidR="0060279A" w:rsidRPr="00D01CA2">
              <w:rPr>
                <w:rFonts w:ascii="Arial" w:hAnsi="Arial" w:cs="Arial"/>
                <w:sz w:val="20"/>
                <w:szCs w:val="20"/>
              </w:rPr>
              <w:t>8</w:t>
            </w:r>
            <w:r w:rsidRPr="00D01CA2">
              <w:rPr>
                <w:rFonts w:ascii="Arial" w:hAnsi="Arial" w:cs="Arial"/>
                <w:sz w:val="20"/>
                <w:szCs w:val="20"/>
              </w:rPr>
              <w:t>-201</w:t>
            </w:r>
            <w:r w:rsidR="0060279A" w:rsidRPr="00D01CA2">
              <w:rPr>
                <w:rFonts w:ascii="Arial" w:hAnsi="Arial" w:cs="Arial"/>
                <w:sz w:val="20"/>
                <w:szCs w:val="20"/>
              </w:rPr>
              <w:t>9</w:t>
            </w:r>
            <w:r w:rsidRPr="00D01CA2">
              <w:rPr>
                <w:rFonts w:ascii="Arial" w:hAnsi="Arial" w:cs="Arial"/>
                <w:sz w:val="20"/>
                <w:szCs w:val="20"/>
              </w:rPr>
              <w:t>.</w:t>
            </w:r>
          </w:p>
          <w:p w:rsidR="005B3CEB" w:rsidRPr="00D01CA2" w:rsidRDefault="005B3CEB"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r w:rsidR="005B3CEB" w:rsidRPr="00D01CA2" w:rsidTr="00EB09A3">
        <w:tc>
          <w:tcPr>
            <w:tcW w:w="2794" w:type="dxa"/>
          </w:tcPr>
          <w:p w:rsidR="005B3CEB" w:rsidRPr="00D01CA2" w:rsidRDefault="005B3CEB" w:rsidP="008724E5">
            <w:pPr>
              <w:pStyle w:val="NormalWeb"/>
              <w:spacing w:before="0" w:beforeAutospacing="0" w:after="0" w:afterAutospacing="0"/>
              <w:contextualSpacing/>
              <w:mirrorIndents/>
              <w:jc w:val="right"/>
              <w:rPr>
                <w:rFonts w:ascii="Arial" w:hAnsi="Arial" w:cs="Arial"/>
                <w:b/>
                <w:color w:val="000000"/>
                <w:sz w:val="20"/>
                <w:szCs w:val="20"/>
                <w:lang w:eastAsia="en-US"/>
              </w:rPr>
            </w:pPr>
            <w:r w:rsidRPr="00D01CA2">
              <w:rPr>
                <w:rFonts w:ascii="Arial" w:hAnsi="Arial" w:cs="Arial"/>
                <w:b/>
                <w:color w:val="000000"/>
                <w:sz w:val="20"/>
                <w:szCs w:val="20"/>
                <w:lang w:eastAsia="en-US"/>
              </w:rPr>
              <w:t>Lineamientos:</w:t>
            </w:r>
          </w:p>
        </w:tc>
        <w:tc>
          <w:tcPr>
            <w:tcW w:w="5428" w:type="dxa"/>
          </w:tcPr>
          <w:p w:rsidR="005B3CEB" w:rsidRPr="00D01CA2" w:rsidRDefault="00D914F3" w:rsidP="008724E5">
            <w:pPr>
              <w:pStyle w:val="NormalWeb"/>
              <w:spacing w:before="0" w:beforeAutospacing="0" w:after="0" w:afterAutospacing="0"/>
              <w:contextualSpacing/>
              <w:mirrorIndents/>
              <w:jc w:val="both"/>
              <w:rPr>
                <w:rFonts w:ascii="Arial" w:hAnsi="Arial" w:cs="Arial"/>
                <w:color w:val="000000"/>
                <w:sz w:val="20"/>
                <w:szCs w:val="20"/>
              </w:rPr>
            </w:pPr>
            <w:r w:rsidRPr="00D01CA2">
              <w:rPr>
                <w:rFonts w:ascii="Arial" w:hAnsi="Arial" w:cs="Arial"/>
                <w:color w:val="000000"/>
                <w:sz w:val="20"/>
                <w:szCs w:val="20"/>
              </w:rPr>
              <w:t>Los Lineamientos para la Tramitación, Sustanciación y Resolución del Juicio para la Protección de los Derechos Político-Electorales del Ciudadano, el Juicio Electoral y Asunto General, competencia del Tribunal Electoral del Estado de Aguascalientes.</w:t>
            </w:r>
          </w:p>
          <w:p w:rsidR="00951054" w:rsidRPr="00D01CA2" w:rsidRDefault="00951054" w:rsidP="008724E5">
            <w:pPr>
              <w:pStyle w:val="NormalWeb"/>
              <w:spacing w:before="0" w:beforeAutospacing="0" w:after="0" w:afterAutospacing="0"/>
              <w:contextualSpacing/>
              <w:mirrorIndents/>
              <w:jc w:val="both"/>
              <w:rPr>
                <w:rFonts w:ascii="Arial" w:hAnsi="Arial" w:cs="Arial"/>
                <w:color w:val="000000"/>
                <w:sz w:val="20"/>
                <w:szCs w:val="20"/>
                <w:lang w:eastAsia="en-US"/>
              </w:rPr>
            </w:pPr>
          </w:p>
        </w:tc>
      </w:tr>
    </w:tbl>
    <w:p w:rsidR="00F5192C" w:rsidRDefault="00CA6036" w:rsidP="00B11A3A">
      <w:pPr>
        <w:pStyle w:val="NormalWeb"/>
        <w:ind w:left="3942" w:hanging="2100"/>
        <w:contextualSpacing/>
        <w:mirrorIndents/>
        <w:jc w:val="both"/>
        <w:rPr>
          <w:rFonts w:ascii="Arial" w:hAnsi="Arial" w:cs="Arial"/>
          <w:b/>
          <w:color w:val="000000"/>
        </w:rPr>
      </w:pPr>
      <w:r w:rsidRPr="002561A1">
        <w:rPr>
          <w:rFonts w:ascii="Arial" w:hAnsi="Arial" w:cs="Arial"/>
          <w:b/>
          <w:color w:val="000000"/>
        </w:rPr>
        <w:tab/>
      </w:r>
    </w:p>
    <w:p w:rsidR="006A7EE7" w:rsidRDefault="00F5192C" w:rsidP="00684BD7">
      <w:pPr>
        <w:pStyle w:val="NormalWeb"/>
        <w:spacing w:line="360" w:lineRule="auto"/>
        <w:ind w:left="777"/>
        <w:contextualSpacing/>
        <w:mirrorIndents/>
        <w:jc w:val="both"/>
        <w:rPr>
          <w:rFonts w:ascii="Arial" w:hAnsi="Arial" w:cs="Arial"/>
          <w:b/>
          <w:color w:val="000000"/>
        </w:rPr>
      </w:pPr>
      <w:r>
        <w:rPr>
          <w:rFonts w:ascii="Arial" w:hAnsi="Arial" w:cs="Arial"/>
          <w:b/>
          <w:color w:val="000000"/>
        </w:rPr>
        <w:t xml:space="preserve">                                           RESULTANDO</w:t>
      </w:r>
      <w:r w:rsidR="00095A22">
        <w:rPr>
          <w:rFonts w:ascii="Arial" w:hAnsi="Arial" w:cs="Arial"/>
          <w:b/>
          <w:color w:val="000000"/>
        </w:rPr>
        <w:t>S</w:t>
      </w:r>
    </w:p>
    <w:p w:rsidR="003218AC" w:rsidRPr="003218AC" w:rsidRDefault="006A7EE7" w:rsidP="008A3577">
      <w:pPr>
        <w:pStyle w:val="Prrafodelista"/>
        <w:widowControl w:val="0"/>
        <w:numPr>
          <w:ilvl w:val="0"/>
          <w:numId w:val="1"/>
        </w:numPr>
        <w:tabs>
          <w:tab w:val="left" w:pos="0"/>
        </w:tabs>
        <w:autoSpaceDE w:val="0"/>
        <w:autoSpaceDN w:val="0"/>
        <w:spacing w:before="1" w:after="0" w:line="360" w:lineRule="auto"/>
        <w:ind w:left="-283" w:right="-283" w:hanging="1"/>
        <w:contextualSpacing w:val="0"/>
        <w:jc w:val="both"/>
        <w:rPr>
          <w:rFonts w:ascii="Arial" w:hAnsi="Arial" w:cs="Arial"/>
          <w:sz w:val="24"/>
          <w:szCs w:val="24"/>
        </w:rPr>
      </w:pPr>
      <w:r w:rsidRPr="002561A1">
        <w:rPr>
          <w:rFonts w:ascii="Arial" w:hAnsi="Arial" w:cs="Arial"/>
          <w:b/>
          <w:color w:val="000000"/>
          <w:sz w:val="24"/>
          <w:szCs w:val="24"/>
        </w:rPr>
        <w:t xml:space="preserve">ANTECEDENTES DEL CASO. </w:t>
      </w:r>
    </w:p>
    <w:p w:rsidR="003218AC" w:rsidRDefault="003218AC" w:rsidP="00995B77">
      <w:pPr>
        <w:widowControl w:val="0"/>
        <w:tabs>
          <w:tab w:val="left" w:pos="376"/>
        </w:tabs>
        <w:autoSpaceDE w:val="0"/>
        <w:autoSpaceDN w:val="0"/>
        <w:spacing w:before="1" w:after="0" w:line="360" w:lineRule="auto"/>
        <w:ind w:left="-283" w:right="-283"/>
        <w:jc w:val="both"/>
        <w:rPr>
          <w:rFonts w:ascii="Arial" w:hAnsi="Arial" w:cs="Arial"/>
          <w:sz w:val="24"/>
          <w:szCs w:val="24"/>
        </w:rPr>
      </w:pPr>
    </w:p>
    <w:p w:rsidR="003218AC" w:rsidRPr="004C15F4" w:rsidRDefault="001F5BF0" w:rsidP="008A3577">
      <w:pPr>
        <w:pStyle w:val="Prrafodelista"/>
        <w:numPr>
          <w:ilvl w:val="1"/>
          <w:numId w:val="3"/>
        </w:numPr>
        <w:spacing w:after="160" w:line="360" w:lineRule="auto"/>
        <w:ind w:left="-284" w:right="-283" w:firstLine="426"/>
        <w:jc w:val="both"/>
        <w:rPr>
          <w:rFonts w:ascii="Arial" w:hAnsi="Arial" w:cs="Arial"/>
          <w:sz w:val="24"/>
          <w:szCs w:val="24"/>
        </w:rPr>
      </w:pPr>
      <w:r>
        <w:rPr>
          <w:rFonts w:ascii="Arial" w:hAnsi="Arial" w:cs="Arial"/>
          <w:b/>
          <w:sz w:val="24"/>
          <w:szCs w:val="24"/>
        </w:rPr>
        <w:t xml:space="preserve">Publicación de la Convocatoria: </w:t>
      </w:r>
      <w:r w:rsidRPr="001F5BF0">
        <w:rPr>
          <w:rFonts w:ascii="Arial" w:hAnsi="Arial" w:cs="Arial"/>
          <w:sz w:val="24"/>
          <w:szCs w:val="24"/>
        </w:rPr>
        <w:t>El d</w:t>
      </w:r>
      <w:r w:rsidR="00095A22" w:rsidRPr="001F5BF0">
        <w:rPr>
          <w:rFonts w:ascii="Arial" w:hAnsi="Arial" w:cs="Arial"/>
          <w:sz w:val="24"/>
          <w:szCs w:val="24"/>
        </w:rPr>
        <w:t>iez</w:t>
      </w:r>
      <w:r w:rsidR="003218AC" w:rsidRPr="001F5BF0">
        <w:rPr>
          <w:rFonts w:ascii="Arial" w:hAnsi="Arial" w:cs="Arial"/>
          <w:sz w:val="24"/>
          <w:szCs w:val="24"/>
        </w:rPr>
        <w:t xml:space="preserve"> de </w:t>
      </w:r>
      <w:r w:rsidR="0060279A" w:rsidRPr="001F5BF0">
        <w:rPr>
          <w:rFonts w:ascii="Arial" w:hAnsi="Arial" w:cs="Arial"/>
          <w:sz w:val="24"/>
          <w:szCs w:val="24"/>
        </w:rPr>
        <w:t>enero</w:t>
      </w:r>
      <w:r w:rsidR="0060279A" w:rsidRPr="001F5BF0">
        <w:rPr>
          <w:rStyle w:val="Refdenotaalpie"/>
          <w:rFonts w:ascii="Arial" w:hAnsi="Arial" w:cs="Arial"/>
          <w:sz w:val="24"/>
          <w:szCs w:val="24"/>
        </w:rPr>
        <w:footnoteReference w:id="2"/>
      </w:r>
      <w:r w:rsidR="003218AC" w:rsidRPr="004C15F4">
        <w:rPr>
          <w:rFonts w:ascii="Arial" w:hAnsi="Arial" w:cs="Arial"/>
          <w:sz w:val="24"/>
          <w:szCs w:val="24"/>
        </w:rPr>
        <w:t xml:space="preserve"> </w:t>
      </w:r>
      <w:r>
        <w:rPr>
          <w:rFonts w:ascii="Arial" w:hAnsi="Arial" w:cs="Arial"/>
          <w:sz w:val="24"/>
          <w:szCs w:val="24"/>
        </w:rPr>
        <w:t>s</w:t>
      </w:r>
      <w:r w:rsidR="003218AC" w:rsidRPr="004C15F4">
        <w:rPr>
          <w:rFonts w:ascii="Arial" w:hAnsi="Arial" w:cs="Arial"/>
          <w:sz w:val="24"/>
          <w:szCs w:val="24"/>
        </w:rPr>
        <w:t xml:space="preserve">e publicó </w:t>
      </w:r>
      <w:r w:rsidR="0060279A">
        <w:rPr>
          <w:rFonts w:ascii="Arial" w:hAnsi="Arial" w:cs="Arial"/>
          <w:sz w:val="24"/>
          <w:szCs w:val="24"/>
        </w:rPr>
        <w:t xml:space="preserve">la </w:t>
      </w:r>
      <w:r w:rsidR="003218AC" w:rsidRPr="004C15F4">
        <w:rPr>
          <w:rFonts w:ascii="Arial" w:hAnsi="Arial" w:cs="Arial"/>
          <w:sz w:val="24"/>
          <w:szCs w:val="24"/>
        </w:rPr>
        <w:t xml:space="preserve">Convocatoria al proceso de selección interna de candidatos/as </w:t>
      </w:r>
      <w:r w:rsidR="0060279A">
        <w:rPr>
          <w:rFonts w:ascii="Arial" w:hAnsi="Arial" w:cs="Arial"/>
          <w:sz w:val="24"/>
          <w:szCs w:val="24"/>
        </w:rPr>
        <w:t xml:space="preserve">para presidentes/as municipales, para </w:t>
      </w:r>
      <w:r w:rsidR="003218AC" w:rsidRPr="004C15F4">
        <w:rPr>
          <w:rFonts w:ascii="Arial" w:hAnsi="Arial" w:cs="Arial"/>
          <w:sz w:val="24"/>
          <w:szCs w:val="24"/>
        </w:rPr>
        <w:t xml:space="preserve">ser postulados/as en </w:t>
      </w:r>
      <w:r w:rsidR="0060279A">
        <w:rPr>
          <w:rFonts w:ascii="Arial" w:hAnsi="Arial" w:cs="Arial"/>
          <w:sz w:val="24"/>
          <w:szCs w:val="24"/>
        </w:rPr>
        <w:t xml:space="preserve">el proceso electoral </w:t>
      </w:r>
      <w:r w:rsidR="003218AC" w:rsidRPr="004C15F4">
        <w:rPr>
          <w:rFonts w:ascii="Arial" w:hAnsi="Arial" w:cs="Arial"/>
          <w:sz w:val="24"/>
          <w:szCs w:val="24"/>
        </w:rPr>
        <w:t>201</w:t>
      </w:r>
      <w:r w:rsidR="0060279A">
        <w:rPr>
          <w:rFonts w:ascii="Arial" w:hAnsi="Arial" w:cs="Arial"/>
          <w:sz w:val="24"/>
          <w:szCs w:val="24"/>
        </w:rPr>
        <w:t>8</w:t>
      </w:r>
      <w:r w:rsidR="007F2E2E">
        <w:rPr>
          <w:rFonts w:ascii="Arial" w:hAnsi="Arial" w:cs="Arial"/>
          <w:sz w:val="24"/>
          <w:szCs w:val="24"/>
        </w:rPr>
        <w:t>-</w:t>
      </w:r>
      <w:r w:rsidR="003218AC" w:rsidRPr="004C15F4">
        <w:rPr>
          <w:rFonts w:ascii="Arial" w:hAnsi="Arial" w:cs="Arial"/>
          <w:sz w:val="24"/>
          <w:szCs w:val="24"/>
        </w:rPr>
        <w:t>201</w:t>
      </w:r>
      <w:r w:rsidR="0060279A">
        <w:rPr>
          <w:rFonts w:ascii="Arial" w:hAnsi="Arial" w:cs="Arial"/>
          <w:sz w:val="24"/>
          <w:szCs w:val="24"/>
        </w:rPr>
        <w:t>9</w:t>
      </w:r>
      <w:r w:rsidR="003218AC" w:rsidRPr="004C15F4">
        <w:rPr>
          <w:rFonts w:ascii="Arial" w:hAnsi="Arial" w:cs="Arial"/>
          <w:sz w:val="24"/>
          <w:szCs w:val="24"/>
        </w:rPr>
        <w:t xml:space="preserve"> por el partido MORENA.</w:t>
      </w:r>
    </w:p>
    <w:p w:rsidR="0060279A" w:rsidRPr="0060279A" w:rsidRDefault="0060279A" w:rsidP="00D01CA2">
      <w:pPr>
        <w:pStyle w:val="Prrafodelista"/>
        <w:spacing w:line="360" w:lineRule="auto"/>
        <w:rPr>
          <w:rFonts w:ascii="Arial" w:hAnsi="Arial" w:cs="Arial"/>
          <w:b/>
          <w:sz w:val="24"/>
          <w:szCs w:val="24"/>
        </w:rPr>
      </w:pPr>
    </w:p>
    <w:p w:rsidR="003218AC" w:rsidRPr="004C15F4" w:rsidRDefault="001F5BF0" w:rsidP="00095A22">
      <w:pPr>
        <w:pStyle w:val="Prrafodelista"/>
        <w:numPr>
          <w:ilvl w:val="1"/>
          <w:numId w:val="3"/>
        </w:numPr>
        <w:spacing w:after="160" w:line="360" w:lineRule="auto"/>
        <w:ind w:left="-284" w:right="-283" w:firstLine="426"/>
        <w:jc w:val="both"/>
        <w:rPr>
          <w:rFonts w:ascii="Arial" w:hAnsi="Arial" w:cs="Arial"/>
          <w:sz w:val="24"/>
          <w:szCs w:val="24"/>
        </w:rPr>
      </w:pPr>
      <w:r>
        <w:rPr>
          <w:rFonts w:ascii="Arial" w:hAnsi="Arial" w:cs="Arial"/>
          <w:b/>
          <w:sz w:val="24"/>
          <w:szCs w:val="24"/>
        </w:rPr>
        <w:t xml:space="preserve">Registro de aspirantes: </w:t>
      </w:r>
      <w:r>
        <w:rPr>
          <w:rFonts w:ascii="Arial" w:hAnsi="Arial" w:cs="Arial"/>
          <w:sz w:val="24"/>
          <w:szCs w:val="24"/>
        </w:rPr>
        <w:t xml:space="preserve">El </w:t>
      </w:r>
      <w:r w:rsidRPr="001F5BF0">
        <w:rPr>
          <w:rFonts w:ascii="Arial" w:hAnsi="Arial" w:cs="Arial"/>
          <w:sz w:val="24"/>
          <w:szCs w:val="24"/>
        </w:rPr>
        <w:t>v</w:t>
      </w:r>
      <w:r w:rsidR="00095A22" w:rsidRPr="001F5BF0">
        <w:rPr>
          <w:rFonts w:ascii="Arial" w:hAnsi="Arial" w:cs="Arial"/>
          <w:sz w:val="24"/>
          <w:szCs w:val="24"/>
        </w:rPr>
        <w:t xml:space="preserve">eintiséis </w:t>
      </w:r>
      <w:r w:rsidR="003218AC" w:rsidRPr="001F5BF0">
        <w:rPr>
          <w:rFonts w:ascii="Arial" w:hAnsi="Arial" w:cs="Arial"/>
          <w:sz w:val="24"/>
          <w:szCs w:val="24"/>
        </w:rPr>
        <w:t xml:space="preserve">de </w:t>
      </w:r>
      <w:r w:rsidR="009B00BC" w:rsidRPr="001F5BF0">
        <w:rPr>
          <w:rFonts w:ascii="Arial" w:hAnsi="Arial" w:cs="Arial"/>
          <w:sz w:val="24"/>
          <w:szCs w:val="24"/>
        </w:rPr>
        <w:t>febrero</w:t>
      </w:r>
      <w:r>
        <w:rPr>
          <w:rFonts w:ascii="Arial" w:hAnsi="Arial" w:cs="Arial"/>
          <w:sz w:val="24"/>
          <w:szCs w:val="24"/>
        </w:rPr>
        <w:t>,</w:t>
      </w:r>
      <w:r w:rsidR="003218AC" w:rsidRPr="001F5BF0">
        <w:rPr>
          <w:rFonts w:ascii="Arial" w:hAnsi="Arial" w:cs="Arial"/>
          <w:sz w:val="24"/>
          <w:szCs w:val="24"/>
        </w:rPr>
        <w:t xml:space="preserve"> </w:t>
      </w:r>
      <w:r w:rsidRPr="001F5BF0">
        <w:rPr>
          <w:rFonts w:ascii="Arial" w:hAnsi="Arial" w:cs="Arial"/>
          <w:sz w:val="24"/>
          <w:szCs w:val="24"/>
        </w:rPr>
        <w:t>s</w:t>
      </w:r>
      <w:r w:rsidR="003218AC" w:rsidRPr="004C15F4">
        <w:rPr>
          <w:rFonts w:ascii="Arial" w:hAnsi="Arial" w:cs="Arial"/>
          <w:sz w:val="24"/>
          <w:szCs w:val="24"/>
        </w:rPr>
        <w:t>e llevó a cabo el registro de</w:t>
      </w:r>
      <w:r>
        <w:rPr>
          <w:rFonts w:ascii="Arial" w:hAnsi="Arial" w:cs="Arial"/>
          <w:sz w:val="24"/>
          <w:szCs w:val="24"/>
        </w:rPr>
        <w:t xml:space="preserve"> los</w:t>
      </w:r>
      <w:r w:rsidR="003218AC" w:rsidRPr="004C15F4">
        <w:rPr>
          <w:rFonts w:ascii="Arial" w:hAnsi="Arial" w:cs="Arial"/>
          <w:sz w:val="24"/>
          <w:szCs w:val="24"/>
        </w:rPr>
        <w:t xml:space="preserve"> aspirantes a candidatura</w:t>
      </w:r>
      <w:r w:rsidR="00D51740">
        <w:rPr>
          <w:rFonts w:ascii="Arial" w:hAnsi="Arial" w:cs="Arial"/>
          <w:sz w:val="24"/>
          <w:szCs w:val="24"/>
        </w:rPr>
        <w:t>s</w:t>
      </w:r>
      <w:r w:rsidR="003218AC" w:rsidRPr="004C15F4">
        <w:rPr>
          <w:rFonts w:ascii="Arial" w:hAnsi="Arial" w:cs="Arial"/>
          <w:sz w:val="24"/>
          <w:szCs w:val="24"/>
        </w:rPr>
        <w:t xml:space="preserve"> de </w:t>
      </w:r>
      <w:r w:rsidR="009B00BC">
        <w:rPr>
          <w:rFonts w:ascii="Arial" w:hAnsi="Arial" w:cs="Arial"/>
          <w:sz w:val="24"/>
          <w:szCs w:val="24"/>
        </w:rPr>
        <w:t>presidentes/as municipales del Estado</w:t>
      </w:r>
      <w:r w:rsidR="003218AC" w:rsidRPr="004C15F4">
        <w:rPr>
          <w:rFonts w:ascii="Arial" w:hAnsi="Arial" w:cs="Arial"/>
          <w:sz w:val="24"/>
          <w:szCs w:val="24"/>
        </w:rPr>
        <w:t>, por parte de la Comisión Nacional</w:t>
      </w:r>
      <w:r w:rsidR="00765D08">
        <w:rPr>
          <w:rFonts w:ascii="Arial" w:hAnsi="Arial" w:cs="Arial"/>
          <w:sz w:val="24"/>
          <w:szCs w:val="24"/>
        </w:rPr>
        <w:t xml:space="preserve"> de Elecciones</w:t>
      </w:r>
      <w:r w:rsidR="002D33A7">
        <w:rPr>
          <w:rFonts w:ascii="Arial" w:hAnsi="Arial" w:cs="Arial"/>
          <w:sz w:val="24"/>
          <w:szCs w:val="24"/>
        </w:rPr>
        <w:t>.</w:t>
      </w:r>
      <w:r w:rsidR="003218AC" w:rsidRPr="004C15F4">
        <w:rPr>
          <w:rFonts w:ascii="Arial" w:hAnsi="Arial" w:cs="Arial"/>
          <w:sz w:val="24"/>
          <w:szCs w:val="24"/>
        </w:rPr>
        <w:t xml:space="preserve"> </w:t>
      </w:r>
    </w:p>
    <w:p w:rsidR="003218AC" w:rsidRPr="00F06945" w:rsidRDefault="003218AC" w:rsidP="00D01CA2">
      <w:pPr>
        <w:pStyle w:val="Prrafodelista"/>
        <w:spacing w:line="360" w:lineRule="auto"/>
        <w:ind w:left="-283" w:right="-283"/>
        <w:rPr>
          <w:rFonts w:ascii="Arial" w:hAnsi="Arial" w:cs="Arial"/>
          <w:sz w:val="24"/>
          <w:szCs w:val="24"/>
        </w:rPr>
      </w:pPr>
    </w:p>
    <w:p w:rsidR="00B4122D" w:rsidRDefault="001F5BF0" w:rsidP="00095A22">
      <w:pPr>
        <w:pStyle w:val="Prrafodelista"/>
        <w:numPr>
          <w:ilvl w:val="1"/>
          <w:numId w:val="3"/>
        </w:numPr>
        <w:spacing w:after="160" w:line="360" w:lineRule="auto"/>
        <w:ind w:left="-284" w:right="-283" w:firstLine="426"/>
        <w:jc w:val="both"/>
        <w:rPr>
          <w:rFonts w:ascii="Arial" w:hAnsi="Arial" w:cs="Arial"/>
          <w:sz w:val="24"/>
          <w:szCs w:val="24"/>
        </w:rPr>
      </w:pPr>
      <w:r>
        <w:rPr>
          <w:rFonts w:ascii="Arial" w:hAnsi="Arial" w:cs="Arial"/>
          <w:b/>
          <w:sz w:val="24"/>
          <w:szCs w:val="24"/>
        </w:rPr>
        <w:t xml:space="preserve">Emisión y Publicación de dictamen: </w:t>
      </w:r>
      <w:r>
        <w:rPr>
          <w:rFonts w:ascii="Arial" w:hAnsi="Arial" w:cs="Arial"/>
          <w:sz w:val="24"/>
          <w:szCs w:val="24"/>
        </w:rPr>
        <w:t>El cuatro de marzo, la Comisión Nacional</w:t>
      </w:r>
      <w:r w:rsidR="00765D08">
        <w:rPr>
          <w:rFonts w:ascii="Arial" w:hAnsi="Arial" w:cs="Arial"/>
          <w:sz w:val="24"/>
          <w:szCs w:val="24"/>
        </w:rPr>
        <w:t xml:space="preserve"> de Elecciones</w:t>
      </w:r>
      <w:r>
        <w:rPr>
          <w:rFonts w:ascii="Arial" w:hAnsi="Arial" w:cs="Arial"/>
          <w:sz w:val="24"/>
          <w:szCs w:val="24"/>
        </w:rPr>
        <w:t xml:space="preserve"> </w:t>
      </w:r>
      <w:r w:rsidR="009B00BC">
        <w:rPr>
          <w:rFonts w:ascii="Arial" w:hAnsi="Arial" w:cs="Arial"/>
          <w:sz w:val="24"/>
          <w:szCs w:val="24"/>
        </w:rPr>
        <w:t xml:space="preserve">emitió </w:t>
      </w:r>
      <w:r>
        <w:rPr>
          <w:rFonts w:ascii="Arial" w:hAnsi="Arial" w:cs="Arial"/>
          <w:sz w:val="24"/>
          <w:szCs w:val="24"/>
        </w:rPr>
        <w:t xml:space="preserve">el dictamen en el que designó a los aspirantes que contenderán para ser candidatos de MORENA </w:t>
      </w:r>
      <w:r w:rsidR="00B4122D">
        <w:rPr>
          <w:rFonts w:ascii="Arial" w:hAnsi="Arial" w:cs="Arial"/>
          <w:sz w:val="24"/>
          <w:szCs w:val="24"/>
        </w:rPr>
        <w:t xml:space="preserve">para presidentes/as municipales, </w:t>
      </w:r>
      <w:r>
        <w:rPr>
          <w:rFonts w:ascii="Arial" w:hAnsi="Arial" w:cs="Arial"/>
          <w:sz w:val="24"/>
          <w:szCs w:val="24"/>
        </w:rPr>
        <w:t xml:space="preserve">síndicos y regidores en el </w:t>
      </w:r>
      <w:r w:rsidR="00B4122D">
        <w:rPr>
          <w:rFonts w:ascii="Arial" w:hAnsi="Arial" w:cs="Arial"/>
          <w:sz w:val="24"/>
          <w:szCs w:val="24"/>
        </w:rPr>
        <w:t xml:space="preserve">proceso electoral </w:t>
      </w:r>
      <w:r w:rsidR="00B4122D" w:rsidRPr="004C15F4">
        <w:rPr>
          <w:rFonts w:ascii="Arial" w:hAnsi="Arial" w:cs="Arial"/>
          <w:sz w:val="24"/>
          <w:szCs w:val="24"/>
        </w:rPr>
        <w:t>201</w:t>
      </w:r>
      <w:r w:rsidR="00B4122D">
        <w:rPr>
          <w:rFonts w:ascii="Arial" w:hAnsi="Arial" w:cs="Arial"/>
          <w:sz w:val="24"/>
          <w:szCs w:val="24"/>
        </w:rPr>
        <w:t>8</w:t>
      </w:r>
      <w:r>
        <w:rPr>
          <w:rFonts w:ascii="Arial" w:hAnsi="Arial" w:cs="Arial"/>
          <w:sz w:val="24"/>
          <w:szCs w:val="24"/>
        </w:rPr>
        <w:t>-</w:t>
      </w:r>
      <w:r w:rsidR="00B4122D" w:rsidRPr="004C15F4">
        <w:rPr>
          <w:rFonts w:ascii="Arial" w:hAnsi="Arial" w:cs="Arial"/>
          <w:sz w:val="24"/>
          <w:szCs w:val="24"/>
        </w:rPr>
        <w:t>201</w:t>
      </w:r>
      <w:r w:rsidR="00B4122D">
        <w:rPr>
          <w:rFonts w:ascii="Arial" w:hAnsi="Arial" w:cs="Arial"/>
          <w:sz w:val="24"/>
          <w:szCs w:val="24"/>
        </w:rPr>
        <w:t>9</w:t>
      </w:r>
      <w:r w:rsidR="00B4122D" w:rsidRPr="004C15F4">
        <w:rPr>
          <w:rFonts w:ascii="Arial" w:hAnsi="Arial" w:cs="Arial"/>
          <w:sz w:val="24"/>
          <w:szCs w:val="24"/>
        </w:rPr>
        <w:t>.</w:t>
      </w:r>
      <w:r>
        <w:rPr>
          <w:rFonts w:ascii="Arial" w:hAnsi="Arial" w:cs="Arial"/>
          <w:sz w:val="24"/>
          <w:szCs w:val="24"/>
        </w:rPr>
        <w:t xml:space="preserve"> Dicha determinación se notificó el cinco de marzo a través de su publicación en la página electrónica del partido político.</w:t>
      </w:r>
    </w:p>
    <w:p w:rsidR="00B4122D" w:rsidRPr="00B4122D" w:rsidRDefault="00B4122D" w:rsidP="00D01CA2">
      <w:pPr>
        <w:pStyle w:val="Prrafodelista"/>
        <w:spacing w:line="360" w:lineRule="auto"/>
        <w:rPr>
          <w:rFonts w:ascii="Arial" w:hAnsi="Arial" w:cs="Arial"/>
          <w:sz w:val="24"/>
          <w:szCs w:val="24"/>
        </w:rPr>
      </w:pPr>
    </w:p>
    <w:p w:rsidR="003218AC" w:rsidRPr="009E4BE5" w:rsidRDefault="001F5BF0" w:rsidP="00095A22">
      <w:pPr>
        <w:pStyle w:val="Prrafodelista"/>
        <w:numPr>
          <w:ilvl w:val="1"/>
          <w:numId w:val="3"/>
        </w:numPr>
        <w:spacing w:after="160" w:line="360" w:lineRule="auto"/>
        <w:ind w:left="-284" w:right="-283" w:firstLine="426"/>
        <w:jc w:val="both"/>
        <w:rPr>
          <w:rFonts w:ascii="Arial" w:hAnsi="Arial" w:cs="Arial"/>
          <w:sz w:val="24"/>
          <w:szCs w:val="24"/>
        </w:rPr>
      </w:pPr>
      <w:r>
        <w:rPr>
          <w:rFonts w:ascii="Arial" w:hAnsi="Arial" w:cs="Arial"/>
          <w:b/>
          <w:sz w:val="24"/>
          <w:szCs w:val="24"/>
        </w:rPr>
        <w:t xml:space="preserve">Fe de erratas del </w:t>
      </w:r>
      <w:r w:rsidR="002E41C6">
        <w:rPr>
          <w:rFonts w:ascii="Arial" w:hAnsi="Arial" w:cs="Arial"/>
          <w:b/>
          <w:sz w:val="24"/>
          <w:szCs w:val="24"/>
        </w:rPr>
        <w:t>Dictamen</w:t>
      </w:r>
      <w:r>
        <w:rPr>
          <w:rFonts w:ascii="Arial" w:hAnsi="Arial" w:cs="Arial"/>
          <w:b/>
          <w:sz w:val="24"/>
          <w:szCs w:val="24"/>
        </w:rPr>
        <w:t xml:space="preserve">: </w:t>
      </w:r>
      <w:r w:rsidR="004F23B5" w:rsidRPr="004471C2">
        <w:rPr>
          <w:rFonts w:ascii="Arial Nova" w:hAnsi="Arial Nova" w:cs="Arial"/>
          <w:sz w:val="24"/>
          <w:szCs w:val="24"/>
        </w:rPr>
        <w:t xml:space="preserve">El </w:t>
      </w:r>
      <w:r w:rsidR="004F23B5">
        <w:rPr>
          <w:rFonts w:ascii="Arial Nova" w:hAnsi="Arial Nova" w:cs="Arial"/>
          <w:sz w:val="24"/>
          <w:szCs w:val="24"/>
        </w:rPr>
        <w:t>cinco</w:t>
      </w:r>
      <w:r w:rsidR="004F23B5" w:rsidRPr="004471C2">
        <w:rPr>
          <w:rFonts w:ascii="Arial Nova" w:hAnsi="Arial Nova" w:cs="Arial"/>
          <w:sz w:val="24"/>
          <w:szCs w:val="24"/>
        </w:rPr>
        <w:t xml:space="preserve"> de marzo</w:t>
      </w:r>
      <w:r w:rsidR="0079328E">
        <w:rPr>
          <w:rFonts w:ascii="Arial Nova" w:hAnsi="Arial Nova" w:cs="Arial"/>
          <w:sz w:val="24"/>
          <w:szCs w:val="24"/>
        </w:rPr>
        <w:t>,</w:t>
      </w:r>
      <w:r w:rsidR="004F23B5">
        <w:rPr>
          <w:rFonts w:ascii="Arial Nova" w:hAnsi="Arial Nova" w:cs="Arial"/>
          <w:sz w:val="24"/>
          <w:szCs w:val="24"/>
        </w:rPr>
        <w:t xml:space="preserve"> se publicó en el sitio web de M</w:t>
      </w:r>
      <w:r w:rsidR="004F23B5" w:rsidRPr="004471C2">
        <w:rPr>
          <w:rFonts w:ascii="Arial Nova" w:hAnsi="Arial Nova" w:cs="Arial"/>
          <w:sz w:val="24"/>
          <w:szCs w:val="24"/>
        </w:rPr>
        <w:t xml:space="preserve">ORENA </w:t>
      </w:r>
      <w:r w:rsidR="004F23B5">
        <w:rPr>
          <w:rFonts w:ascii="Arial Nova" w:hAnsi="Arial Nova" w:cs="Arial"/>
          <w:sz w:val="24"/>
          <w:szCs w:val="24"/>
        </w:rPr>
        <w:t>la</w:t>
      </w:r>
      <w:r w:rsidR="004F23B5" w:rsidRPr="004471C2">
        <w:rPr>
          <w:rFonts w:ascii="Arial Nova" w:hAnsi="Arial Nova" w:cs="Arial"/>
          <w:sz w:val="24"/>
          <w:szCs w:val="24"/>
        </w:rPr>
        <w:t xml:space="preserve"> fe de erratas del Dictamen</w:t>
      </w:r>
      <w:r w:rsidR="004F23B5">
        <w:rPr>
          <w:rStyle w:val="Refdenotaalpie"/>
          <w:rFonts w:ascii="Arial Nova" w:hAnsi="Arial Nova" w:cs="Arial"/>
          <w:sz w:val="24"/>
          <w:szCs w:val="24"/>
        </w:rPr>
        <w:footnoteReference w:id="3"/>
      </w:r>
      <w:r w:rsidR="004F23B5" w:rsidRPr="004471C2">
        <w:rPr>
          <w:rFonts w:ascii="Arial Nova" w:hAnsi="Arial Nova" w:cs="Arial"/>
          <w:sz w:val="24"/>
          <w:szCs w:val="24"/>
        </w:rPr>
        <w:t xml:space="preserve">, </w:t>
      </w:r>
      <w:r w:rsidR="004F23B5">
        <w:rPr>
          <w:rFonts w:ascii="Arial Nova" w:hAnsi="Arial Nova" w:cs="Arial"/>
          <w:sz w:val="24"/>
          <w:szCs w:val="24"/>
        </w:rPr>
        <w:t xml:space="preserve">señalando que de una revisión </w:t>
      </w:r>
      <w:r w:rsidR="004F23B5">
        <w:rPr>
          <w:rFonts w:ascii="Arial Nova" w:hAnsi="Arial Nova" w:cs="Arial"/>
          <w:sz w:val="24"/>
          <w:szCs w:val="24"/>
        </w:rPr>
        <w:lastRenderedPageBreak/>
        <w:t>de la publicación, se había observado la existencia de errores en los municipios de Aguascalientes y San Francisco de los Romo, y que la lista de solicitudes de registro aprobadas para el Ayuntamiento de Aguascalientes, se conformaba por los ciudadanos Manuel de Jesús Bañuelos Hernández, Eulogio Monreal Ávila y Luis Armando Salazar Mora, en tanto que la de San Francisco de los Romo, se conformaba por los ciudadanos Alejandro Mendoza Villalobos, Mario Alberto Sandoval Ruvalcaba y Ma. Guadalupe Martínez Vázquez.</w:t>
      </w:r>
    </w:p>
    <w:p w:rsidR="009E4BE5" w:rsidRPr="009E4BE5" w:rsidRDefault="009E4BE5" w:rsidP="009E4BE5">
      <w:pPr>
        <w:pStyle w:val="Prrafodelista"/>
        <w:rPr>
          <w:rFonts w:ascii="Arial" w:hAnsi="Arial" w:cs="Arial"/>
          <w:sz w:val="24"/>
          <w:szCs w:val="24"/>
        </w:rPr>
      </w:pPr>
    </w:p>
    <w:p w:rsidR="009E4BE5" w:rsidRPr="004F23B5" w:rsidRDefault="009E4BE5" w:rsidP="00095A22">
      <w:pPr>
        <w:pStyle w:val="Prrafodelista"/>
        <w:numPr>
          <w:ilvl w:val="1"/>
          <w:numId w:val="3"/>
        </w:numPr>
        <w:spacing w:after="160" w:line="360" w:lineRule="auto"/>
        <w:ind w:left="-284" w:right="-283" w:firstLine="426"/>
        <w:jc w:val="both"/>
        <w:rPr>
          <w:rFonts w:ascii="Arial" w:hAnsi="Arial" w:cs="Arial"/>
          <w:sz w:val="24"/>
          <w:szCs w:val="24"/>
        </w:rPr>
      </w:pPr>
      <w:r>
        <w:rPr>
          <w:rFonts w:ascii="Arial" w:hAnsi="Arial" w:cs="Arial"/>
          <w:b/>
          <w:sz w:val="24"/>
          <w:szCs w:val="24"/>
        </w:rPr>
        <w:t xml:space="preserve">Dictamen que determina las candidaturas. </w:t>
      </w:r>
      <w:r>
        <w:rPr>
          <w:rFonts w:ascii="Arial" w:hAnsi="Arial" w:cs="Arial"/>
          <w:sz w:val="24"/>
          <w:szCs w:val="24"/>
        </w:rPr>
        <w:t>El cinco de abril, la Comisión Nacional de Elecciones emitió el dictamen</w:t>
      </w:r>
      <w:r w:rsidR="00F44114">
        <w:rPr>
          <w:rFonts w:ascii="Arial" w:hAnsi="Arial" w:cs="Arial"/>
          <w:sz w:val="24"/>
          <w:szCs w:val="24"/>
        </w:rPr>
        <w:t xml:space="preserve"> (sin sancionar)</w:t>
      </w:r>
      <w:r>
        <w:rPr>
          <w:rFonts w:ascii="Arial" w:hAnsi="Arial" w:cs="Arial"/>
          <w:sz w:val="24"/>
          <w:szCs w:val="24"/>
        </w:rPr>
        <w:t xml:space="preserve"> en el que s</w:t>
      </w:r>
      <w:r w:rsidR="00F44114">
        <w:rPr>
          <w:rFonts w:ascii="Arial" w:hAnsi="Arial" w:cs="Arial"/>
          <w:sz w:val="24"/>
          <w:szCs w:val="24"/>
        </w:rPr>
        <w:t>e</w:t>
      </w:r>
      <w:r>
        <w:rPr>
          <w:rFonts w:ascii="Arial" w:hAnsi="Arial" w:cs="Arial"/>
          <w:sz w:val="24"/>
          <w:szCs w:val="24"/>
        </w:rPr>
        <w:t xml:space="preserve"> establecieron los nombres de las personas que fueron designadas como candidatos a los diversos cargos de los ayuntamientos.</w:t>
      </w:r>
    </w:p>
    <w:p w:rsidR="00703C42" w:rsidRDefault="00703C42" w:rsidP="00D01CA2">
      <w:pPr>
        <w:pStyle w:val="Prrafodelista"/>
        <w:spacing w:after="160" w:line="360" w:lineRule="auto"/>
        <w:ind w:left="437" w:right="-283"/>
        <w:jc w:val="both"/>
        <w:rPr>
          <w:rFonts w:ascii="Arial" w:hAnsi="Arial" w:cs="Arial"/>
          <w:sz w:val="24"/>
          <w:szCs w:val="24"/>
        </w:rPr>
      </w:pPr>
    </w:p>
    <w:p w:rsidR="00E34A17" w:rsidRDefault="006C33B4" w:rsidP="00C433BE">
      <w:pPr>
        <w:pStyle w:val="Prrafodelista"/>
        <w:numPr>
          <w:ilvl w:val="1"/>
          <w:numId w:val="3"/>
        </w:numPr>
        <w:spacing w:after="160" w:line="360" w:lineRule="auto"/>
        <w:ind w:left="-284" w:right="-283" w:firstLine="426"/>
        <w:jc w:val="both"/>
        <w:rPr>
          <w:rFonts w:ascii="Arial" w:hAnsi="Arial" w:cs="Arial"/>
          <w:sz w:val="24"/>
          <w:szCs w:val="24"/>
        </w:rPr>
      </w:pPr>
      <w:r w:rsidRPr="006C33B4">
        <w:rPr>
          <w:rFonts w:ascii="Arial" w:hAnsi="Arial" w:cs="Arial"/>
          <w:b/>
          <w:sz w:val="24"/>
          <w:szCs w:val="24"/>
        </w:rPr>
        <w:t>Trámite</w:t>
      </w:r>
      <w:r>
        <w:rPr>
          <w:rFonts w:ascii="Arial" w:hAnsi="Arial" w:cs="Arial"/>
          <w:sz w:val="24"/>
          <w:szCs w:val="24"/>
        </w:rPr>
        <w:t xml:space="preserve">. </w:t>
      </w:r>
      <w:r w:rsidR="00951054">
        <w:rPr>
          <w:rFonts w:ascii="Arial" w:hAnsi="Arial" w:cs="Arial"/>
          <w:sz w:val="24"/>
          <w:szCs w:val="24"/>
        </w:rPr>
        <w:t xml:space="preserve">El </w:t>
      </w:r>
      <w:r w:rsidR="00605EDB">
        <w:rPr>
          <w:rFonts w:ascii="Arial" w:hAnsi="Arial" w:cs="Arial"/>
          <w:sz w:val="24"/>
          <w:szCs w:val="24"/>
        </w:rPr>
        <w:t>diez</w:t>
      </w:r>
      <w:r w:rsidR="00D01CA2">
        <w:rPr>
          <w:rFonts w:ascii="Arial" w:hAnsi="Arial" w:cs="Arial"/>
          <w:sz w:val="24"/>
          <w:szCs w:val="24"/>
        </w:rPr>
        <w:t xml:space="preserve"> de </w:t>
      </w:r>
      <w:r w:rsidR="00605EDB">
        <w:rPr>
          <w:rFonts w:ascii="Arial" w:hAnsi="Arial" w:cs="Arial"/>
          <w:sz w:val="24"/>
          <w:szCs w:val="24"/>
        </w:rPr>
        <w:t>abril</w:t>
      </w:r>
      <w:r w:rsidR="00951054">
        <w:rPr>
          <w:rFonts w:ascii="Arial" w:hAnsi="Arial" w:cs="Arial"/>
          <w:sz w:val="24"/>
          <w:szCs w:val="24"/>
        </w:rPr>
        <w:t>,</w:t>
      </w:r>
      <w:r w:rsidR="003218AC" w:rsidRPr="004C15F4">
        <w:rPr>
          <w:rFonts w:ascii="Arial" w:hAnsi="Arial" w:cs="Arial"/>
          <w:sz w:val="24"/>
          <w:szCs w:val="24"/>
        </w:rPr>
        <w:t xml:space="preserve"> </w:t>
      </w:r>
      <w:r w:rsidR="00605EDB">
        <w:rPr>
          <w:rFonts w:ascii="Arial" w:hAnsi="Arial" w:cs="Arial"/>
          <w:sz w:val="24"/>
          <w:szCs w:val="24"/>
        </w:rPr>
        <w:t>se interpusieron los j</w:t>
      </w:r>
      <w:r w:rsidR="00951054">
        <w:rPr>
          <w:rFonts w:ascii="Arial" w:hAnsi="Arial" w:cs="Arial"/>
          <w:sz w:val="24"/>
          <w:szCs w:val="24"/>
        </w:rPr>
        <w:t>uicio</w:t>
      </w:r>
      <w:r w:rsidR="00605EDB">
        <w:rPr>
          <w:rFonts w:ascii="Arial" w:hAnsi="Arial" w:cs="Arial"/>
          <w:sz w:val="24"/>
          <w:szCs w:val="24"/>
        </w:rPr>
        <w:t>s</w:t>
      </w:r>
      <w:r w:rsidR="00951054">
        <w:rPr>
          <w:rFonts w:ascii="Arial" w:hAnsi="Arial" w:cs="Arial"/>
          <w:sz w:val="24"/>
          <w:szCs w:val="24"/>
        </w:rPr>
        <w:t xml:space="preserve"> para la </w:t>
      </w:r>
      <w:r w:rsidR="00605EDB">
        <w:rPr>
          <w:rFonts w:ascii="Arial" w:hAnsi="Arial" w:cs="Arial"/>
          <w:sz w:val="24"/>
          <w:szCs w:val="24"/>
        </w:rPr>
        <w:t>p</w:t>
      </w:r>
      <w:r w:rsidR="00951054">
        <w:rPr>
          <w:rFonts w:ascii="Arial" w:hAnsi="Arial" w:cs="Arial"/>
          <w:sz w:val="24"/>
          <w:szCs w:val="24"/>
        </w:rPr>
        <w:t xml:space="preserve">rotección de los </w:t>
      </w:r>
      <w:r w:rsidR="00605EDB">
        <w:rPr>
          <w:rFonts w:ascii="Arial" w:hAnsi="Arial" w:cs="Arial"/>
          <w:sz w:val="24"/>
          <w:szCs w:val="24"/>
        </w:rPr>
        <w:t>d</w:t>
      </w:r>
      <w:r w:rsidR="00951054">
        <w:rPr>
          <w:rFonts w:ascii="Arial" w:hAnsi="Arial" w:cs="Arial"/>
          <w:sz w:val="24"/>
          <w:szCs w:val="24"/>
        </w:rPr>
        <w:t xml:space="preserve">erechos </w:t>
      </w:r>
      <w:r w:rsidR="00605EDB">
        <w:rPr>
          <w:rFonts w:ascii="Arial" w:hAnsi="Arial" w:cs="Arial"/>
          <w:sz w:val="24"/>
          <w:szCs w:val="24"/>
        </w:rPr>
        <w:t>p</w:t>
      </w:r>
      <w:r w:rsidR="00951054">
        <w:rPr>
          <w:rFonts w:ascii="Arial" w:hAnsi="Arial" w:cs="Arial"/>
          <w:sz w:val="24"/>
          <w:szCs w:val="24"/>
        </w:rPr>
        <w:t xml:space="preserve">olíticos </w:t>
      </w:r>
      <w:r w:rsidR="00605EDB">
        <w:rPr>
          <w:rFonts w:ascii="Arial" w:hAnsi="Arial" w:cs="Arial"/>
          <w:sz w:val="24"/>
          <w:szCs w:val="24"/>
        </w:rPr>
        <w:t>e</w:t>
      </w:r>
      <w:r w:rsidR="008A3577">
        <w:rPr>
          <w:rFonts w:ascii="Arial" w:hAnsi="Arial" w:cs="Arial"/>
          <w:sz w:val="24"/>
          <w:szCs w:val="24"/>
        </w:rPr>
        <w:t xml:space="preserve">lectorales </w:t>
      </w:r>
      <w:r w:rsidR="00951054">
        <w:rPr>
          <w:rFonts w:ascii="Arial" w:hAnsi="Arial" w:cs="Arial"/>
          <w:sz w:val="24"/>
          <w:szCs w:val="24"/>
        </w:rPr>
        <w:t>d</w:t>
      </w:r>
      <w:r w:rsidR="00605EDB">
        <w:rPr>
          <w:rFonts w:ascii="Arial" w:hAnsi="Arial" w:cs="Arial"/>
          <w:sz w:val="24"/>
          <w:szCs w:val="24"/>
        </w:rPr>
        <w:t>e</w:t>
      </w:r>
      <w:r w:rsidR="00951054">
        <w:rPr>
          <w:rFonts w:ascii="Arial" w:hAnsi="Arial" w:cs="Arial"/>
          <w:sz w:val="24"/>
          <w:szCs w:val="24"/>
        </w:rPr>
        <w:t xml:space="preserve">l </w:t>
      </w:r>
      <w:r w:rsidR="00605EDB">
        <w:rPr>
          <w:rFonts w:ascii="Arial" w:hAnsi="Arial" w:cs="Arial"/>
          <w:sz w:val="24"/>
          <w:szCs w:val="24"/>
        </w:rPr>
        <w:t>c</w:t>
      </w:r>
      <w:r w:rsidR="00951054">
        <w:rPr>
          <w:rFonts w:ascii="Arial" w:hAnsi="Arial" w:cs="Arial"/>
          <w:sz w:val="24"/>
          <w:szCs w:val="24"/>
        </w:rPr>
        <w:t>iudadano</w:t>
      </w:r>
      <w:r w:rsidR="003218AC" w:rsidRPr="004C15F4">
        <w:rPr>
          <w:rFonts w:ascii="Arial" w:hAnsi="Arial" w:cs="Arial"/>
          <w:sz w:val="24"/>
          <w:szCs w:val="24"/>
        </w:rPr>
        <w:t xml:space="preserve"> </w:t>
      </w:r>
      <w:r w:rsidR="00605EDB">
        <w:rPr>
          <w:rFonts w:ascii="Arial" w:hAnsi="Arial" w:cs="Arial"/>
          <w:sz w:val="24"/>
          <w:szCs w:val="24"/>
        </w:rPr>
        <w:t xml:space="preserve">que se precisan en la siguiente tabla, donde se puede apreciar el número de expediente que se les asignó y el magistrado a quien fueron turnados. </w:t>
      </w:r>
    </w:p>
    <w:p w:rsidR="00E34A17" w:rsidRDefault="00E34A17" w:rsidP="006967AE">
      <w:pPr>
        <w:pStyle w:val="Prrafodelista"/>
        <w:spacing w:after="0" w:line="240" w:lineRule="auto"/>
        <w:ind w:left="437" w:right="-283"/>
        <w:jc w:val="both"/>
        <w:rPr>
          <w:rFonts w:ascii="Arial" w:hAnsi="Arial" w:cs="Arial"/>
          <w:b/>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30"/>
        <w:gridCol w:w="1712"/>
        <w:gridCol w:w="2832"/>
        <w:gridCol w:w="2832"/>
      </w:tblGrid>
      <w:tr w:rsidR="006967AE" w:rsidRPr="004573D8" w:rsidTr="00415EC1">
        <w:trPr>
          <w:trHeight w:val="397"/>
          <w:tblHeader/>
          <w:jc w:val="center"/>
        </w:trPr>
        <w:tc>
          <w:tcPr>
            <w:tcW w:w="335" w:type="pct"/>
            <w:tcBorders>
              <w:top w:val="double" w:sz="4" w:space="0" w:color="auto"/>
              <w:bottom w:val="double" w:sz="4" w:space="0" w:color="auto"/>
              <w:right w:val="double" w:sz="4" w:space="0" w:color="auto"/>
            </w:tcBorders>
            <w:shd w:val="clear" w:color="auto" w:fill="D9D9D9"/>
            <w:vAlign w:val="center"/>
          </w:tcPr>
          <w:p w:rsidR="006967AE" w:rsidRPr="004573D8" w:rsidRDefault="006967AE" w:rsidP="006967AE">
            <w:pPr>
              <w:snapToGrid w:val="0"/>
              <w:spacing w:after="0" w:line="240" w:lineRule="auto"/>
              <w:ind w:right="-18"/>
              <w:jc w:val="center"/>
              <w:rPr>
                <w:rFonts w:cs="Arial"/>
                <w:b/>
                <w:bCs/>
                <w:sz w:val="16"/>
                <w:szCs w:val="16"/>
              </w:rPr>
            </w:pPr>
            <w:bookmarkStart w:id="2" w:name="_Hlk5964581"/>
            <w:r w:rsidRPr="004573D8">
              <w:rPr>
                <w:rFonts w:cs="Arial"/>
                <w:b/>
                <w:bCs/>
                <w:sz w:val="16"/>
                <w:szCs w:val="16"/>
              </w:rPr>
              <w:t>No.</w:t>
            </w:r>
          </w:p>
        </w:tc>
        <w:tc>
          <w:tcPr>
            <w:tcW w:w="1083" w:type="pct"/>
            <w:tcBorders>
              <w:top w:val="double" w:sz="4" w:space="0" w:color="auto"/>
              <w:left w:val="double" w:sz="4"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6967AE" w:rsidRPr="004573D8" w:rsidRDefault="006967AE" w:rsidP="006967AE">
            <w:pPr>
              <w:snapToGrid w:val="0"/>
              <w:spacing w:after="0" w:line="240" w:lineRule="auto"/>
              <w:ind w:right="49"/>
              <w:jc w:val="center"/>
              <w:rPr>
                <w:rFonts w:eastAsiaTheme="minorHAnsi" w:cs="Arial"/>
                <w:b/>
                <w:bCs/>
                <w:sz w:val="16"/>
                <w:szCs w:val="16"/>
              </w:rPr>
            </w:pPr>
            <w:r w:rsidRPr="004573D8">
              <w:rPr>
                <w:rFonts w:cs="Arial"/>
                <w:b/>
                <w:bCs/>
                <w:sz w:val="16"/>
                <w:szCs w:val="16"/>
              </w:rPr>
              <w:t>Expediente</w:t>
            </w:r>
          </w:p>
        </w:tc>
        <w:tc>
          <w:tcPr>
            <w:tcW w:w="1791" w:type="pct"/>
            <w:tcBorders>
              <w:top w:val="double" w:sz="4" w:space="0" w:color="auto"/>
              <w:left w:val="double" w:sz="4" w:space="0" w:color="auto"/>
              <w:bottom w:val="double" w:sz="4" w:space="0" w:color="auto"/>
              <w:right w:val="double" w:sz="4" w:space="0" w:color="auto"/>
            </w:tcBorders>
            <w:shd w:val="clear" w:color="auto" w:fill="D9D9D9"/>
          </w:tcPr>
          <w:p w:rsidR="006967AE" w:rsidRDefault="006967AE" w:rsidP="006967AE">
            <w:pPr>
              <w:snapToGrid w:val="0"/>
              <w:spacing w:after="0" w:line="240" w:lineRule="auto"/>
              <w:ind w:right="49"/>
              <w:jc w:val="center"/>
              <w:rPr>
                <w:rFonts w:cs="Arial"/>
                <w:b/>
                <w:bCs/>
                <w:sz w:val="16"/>
                <w:szCs w:val="16"/>
              </w:rPr>
            </w:pPr>
          </w:p>
          <w:p w:rsidR="006967AE" w:rsidRDefault="006967AE" w:rsidP="006967AE">
            <w:pPr>
              <w:snapToGrid w:val="0"/>
              <w:spacing w:after="0" w:line="240" w:lineRule="auto"/>
              <w:ind w:right="49"/>
              <w:jc w:val="center"/>
              <w:rPr>
                <w:rFonts w:cs="Arial"/>
                <w:b/>
                <w:bCs/>
                <w:sz w:val="16"/>
                <w:szCs w:val="16"/>
              </w:rPr>
            </w:pPr>
            <w:r>
              <w:rPr>
                <w:rFonts w:cs="Arial"/>
                <w:b/>
                <w:bCs/>
                <w:sz w:val="16"/>
                <w:szCs w:val="16"/>
              </w:rPr>
              <w:t>Magistrado Instructor</w:t>
            </w:r>
          </w:p>
          <w:p w:rsidR="006967AE" w:rsidRPr="004573D8" w:rsidRDefault="006967AE" w:rsidP="006967AE">
            <w:pPr>
              <w:snapToGrid w:val="0"/>
              <w:spacing w:after="0" w:line="240" w:lineRule="auto"/>
              <w:ind w:right="49"/>
              <w:jc w:val="center"/>
              <w:rPr>
                <w:rFonts w:cs="Arial"/>
                <w:b/>
                <w:bCs/>
                <w:sz w:val="16"/>
                <w:szCs w:val="16"/>
              </w:rPr>
            </w:pPr>
          </w:p>
        </w:tc>
        <w:tc>
          <w:tcPr>
            <w:tcW w:w="1791" w:type="pct"/>
            <w:tcBorders>
              <w:top w:val="double" w:sz="4" w:space="0" w:color="auto"/>
              <w:left w:val="double" w:sz="4"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6967AE" w:rsidRPr="004573D8" w:rsidRDefault="006967AE" w:rsidP="006967AE">
            <w:pPr>
              <w:snapToGrid w:val="0"/>
              <w:spacing w:after="0" w:line="240" w:lineRule="auto"/>
              <w:ind w:right="49"/>
              <w:jc w:val="center"/>
              <w:rPr>
                <w:rFonts w:eastAsiaTheme="minorHAnsi" w:cs="Arial"/>
                <w:b/>
                <w:bCs/>
                <w:sz w:val="16"/>
                <w:szCs w:val="16"/>
              </w:rPr>
            </w:pPr>
            <w:r w:rsidRPr="004573D8">
              <w:rPr>
                <w:rFonts w:cs="Arial"/>
                <w:b/>
                <w:bCs/>
                <w:sz w:val="16"/>
                <w:szCs w:val="16"/>
              </w:rPr>
              <w:t>Actor/a</w:t>
            </w:r>
          </w:p>
        </w:tc>
      </w:tr>
      <w:tr w:rsidR="006967AE" w:rsidRPr="004573D8" w:rsidTr="00415EC1">
        <w:trPr>
          <w:trHeight w:val="397"/>
          <w:jc w:val="center"/>
        </w:trPr>
        <w:tc>
          <w:tcPr>
            <w:tcW w:w="335" w:type="pct"/>
            <w:tcBorders>
              <w:top w:val="double" w:sz="4" w:space="0" w:color="auto"/>
            </w:tcBorders>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sidRPr="004573D8">
              <w:rPr>
                <w:rFonts w:cs="Arial"/>
                <w:sz w:val="16"/>
                <w:szCs w:val="16"/>
              </w:rPr>
              <w:t>1.</w:t>
            </w:r>
          </w:p>
        </w:tc>
        <w:tc>
          <w:tcPr>
            <w:tcW w:w="1083" w:type="pct"/>
            <w:tcBorders>
              <w:top w:val="double" w:sz="4" w:space="0" w:color="auto"/>
            </w:tcBorders>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TEEA-JDC-035/2019</w:t>
            </w:r>
          </w:p>
        </w:tc>
        <w:tc>
          <w:tcPr>
            <w:tcW w:w="1791" w:type="pct"/>
            <w:tcBorders>
              <w:top w:val="double" w:sz="4" w:space="0" w:color="auto"/>
            </w:tcBorders>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Jorge Ramón Díaz de León Gutiérrez</w:t>
            </w:r>
          </w:p>
        </w:tc>
        <w:tc>
          <w:tcPr>
            <w:tcW w:w="1791" w:type="pct"/>
            <w:tcBorders>
              <w:top w:val="double" w:sz="4" w:space="0" w:color="auto"/>
            </w:tcBorders>
            <w:tcMar>
              <w:top w:w="0" w:type="dxa"/>
              <w:left w:w="108" w:type="dxa"/>
              <w:bottom w:w="0" w:type="dxa"/>
              <w:right w:w="108" w:type="dxa"/>
            </w:tcMar>
            <w:vAlign w:val="center"/>
          </w:tcPr>
          <w:p w:rsidR="006967AE" w:rsidRPr="002307C7" w:rsidRDefault="006967AE" w:rsidP="006967AE">
            <w:pPr>
              <w:autoSpaceDE w:val="0"/>
              <w:autoSpaceDN w:val="0"/>
              <w:adjustRightInd w:val="0"/>
              <w:spacing w:after="0" w:line="240" w:lineRule="auto"/>
              <w:ind w:right="49"/>
              <w:jc w:val="center"/>
              <w:rPr>
                <w:rFonts w:cs="Arial"/>
                <w:sz w:val="16"/>
                <w:szCs w:val="16"/>
              </w:rPr>
            </w:pPr>
            <w:proofErr w:type="spellStart"/>
            <w:r w:rsidRPr="002307C7">
              <w:rPr>
                <w:rFonts w:cs="Arial"/>
                <w:sz w:val="16"/>
                <w:szCs w:val="16"/>
              </w:rPr>
              <w:t>Yazmin</w:t>
            </w:r>
            <w:proofErr w:type="spellEnd"/>
            <w:r w:rsidRPr="002307C7">
              <w:rPr>
                <w:rFonts w:cs="Arial"/>
                <w:sz w:val="16"/>
                <w:szCs w:val="16"/>
              </w:rPr>
              <w:t xml:space="preserve"> Marmolejo Bernal</w:t>
            </w: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sidRPr="004573D8">
              <w:rPr>
                <w:rFonts w:cs="Arial"/>
                <w:sz w:val="16"/>
                <w:szCs w:val="16"/>
              </w:rPr>
              <w:t>2.</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TEEA-JDC-036/2019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Ma. Guadalupe Medina Loera</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TEEA-JDC-037/2019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Iraís Salazar Gutiérrez</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TEEA-JDC-038/2019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2307C7" w:rsidRDefault="006967AE" w:rsidP="006967AE">
            <w:pPr>
              <w:autoSpaceDE w:val="0"/>
              <w:autoSpaceDN w:val="0"/>
              <w:adjustRightInd w:val="0"/>
              <w:spacing w:after="0" w:line="240" w:lineRule="auto"/>
              <w:ind w:right="49"/>
              <w:jc w:val="center"/>
              <w:rPr>
                <w:rFonts w:cs="Arial"/>
                <w:sz w:val="16"/>
                <w:szCs w:val="16"/>
              </w:rPr>
            </w:pPr>
            <w:r w:rsidRPr="002307C7">
              <w:rPr>
                <w:rFonts w:cs="Arial"/>
                <w:sz w:val="16"/>
                <w:szCs w:val="16"/>
              </w:rPr>
              <w:t>Bertha Medina Loera</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 xml:space="preserve">5. </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TEEA-JDC-039/2019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Héctor Salvador Hernández Gallegos</w:t>
            </w:r>
          </w:p>
          <w:p w:rsidR="006967AE" w:rsidRPr="00EC79B6" w:rsidRDefault="006967AE" w:rsidP="006967AE">
            <w:pPr>
              <w:autoSpaceDE w:val="0"/>
              <w:autoSpaceDN w:val="0"/>
              <w:adjustRightInd w:val="0"/>
              <w:spacing w:after="0" w:line="240" w:lineRule="auto"/>
              <w:ind w:right="49"/>
              <w:jc w:val="center"/>
              <w:rPr>
                <w:rFonts w:cs="Arial"/>
                <w:sz w:val="16"/>
                <w:szCs w:val="16"/>
              </w:rPr>
            </w:pP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proofErr w:type="spellStart"/>
            <w:r w:rsidRPr="002307C7">
              <w:rPr>
                <w:rFonts w:cs="Arial"/>
                <w:color w:val="000000"/>
                <w:sz w:val="16"/>
                <w:szCs w:val="16"/>
              </w:rPr>
              <w:t>Dairy</w:t>
            </w:r>
            <w:proofErr w:type="spellEnd"/>
            <w:r w:rsidRPr="002307C7">
              <w:rPr>
                <w:rFonts w:cs="Arial"/>
                <w:color w:val="000000"/>
                <w:sz w:val="16"/>
                <w:szCs w:val="16"/>
              </w:rPr>
              <w:t xml:space="preserve"> Paola Pasillas García</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 xml:space="preserve">6. </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TEEA-JDC-040/2019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María Edith Gutiérrez Macías</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 xml:space="preserve">7. </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TEEA-JDC-041/2019</w:t>
            </w:r>
          </w:p>
        </w:tc>
        <w:tc>
          <w:tcPr>
            <w:tcW w:w="1791" w:type="pct"/>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EC79B6"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p>
          <w:p w:rsidR="006967AE" w:rsidRPr="002307C7" w:rsidRDefault="006967AE" w:rsidP="006967AE">
            <w:pPr>
              <w:autoSpaceDE w:val="0"/>
              <w:autoSpaceDN w:val="0"/>
              <w:adjustRightInd w:val="0"/>
              <w:spacing w:after="0" w:line="240" w:lineRule="auto"/>
              <w:ind w:right="49"/>
              <w:jc w:val="center"/>
              <w:rPr>
                <w:rFonts w:cs="Arial"/>
                <w:sz w:val="16"/>
                <w:szCs w:val="16"/>
              </w:rPr>
            </w:pPr>
            <w:r w:rsidRPr="002307C7">
              <w:rPr>
                <w:rFonts w:cs="Arial"/>
                <w:sz w:val="16"/>
                <w:szCs w:val="16"/>
              </w:rPr>
              <w:t>Jairo Gabriel Silva Espinoza</w:t>
            </w:r>
          </w:p>
          <w:p w:rsidR="006967AE" w:rsidRPr="002307C7" w:rsidRDefault="006967AE" w:rsidP="006967AE">
            <w:pPr>
              <w:autoSpaceDE w:val="0"/>
              <w:autoSpaceDN w:val="0"/>
              <w:adjustRightInd w:val="0"/>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 xml:space="preserve">8. </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TEEA-JDC-042/2019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José Cayetano Jaime Esparza</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9</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TEEA-JDC-043/2019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Ramiro Ibarra Esparza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10.</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TEEA-JDC-044/2019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José Luis Jara Barrios</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11.</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TEEA-JDC-045/2019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Obed Mauricio López</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lastRenderedPageBreak/>
              <w:t>12</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TEEA-JDC-046/2019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J. Refugio Castañeda Morales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13.</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TEEA-JDC-047/2019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Cristian Iván Camarillo Ponce</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14.</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TEEA-JDC-048/2019</w:t>
            </w:r>
          </w:p>
        </w:tc>
        <w:tc>
          <w:tcPr>
            <w:tcW w:w="1791" w:type="pct"/>
          </w:tcPr>
          <w:p w:rsidR="006967AE" w:rsidRDefault="006967AE" w:rsidP="006967AE">
            <w:pPr>
              <w:spacing w:after="0" w:line="240" w:lineRule="auto"/>
              <w:jc w:val="center"/>
              <w:rPr>
                <w:rFonts w:cs="Arial"/>
                <w:color w:val="000000"/>
                <w:sz w:val="16"/>
                <w:szCs w:val="16"/>
              </w:rPr>
            </w:pPr>
          </w:p>
          <w:p w:rsidR="006967AE" w:rsidRDefault="006967AE" w:rsidP="006967AE">
            <w:pPr>
              <w:spacing w:after="0" w:line="240" w:lineRule="auto"/>
              <w:jc w:val="center"/>
              <w:rPr>
                <w:rFonts w:cs="Arial"/>
                <w:color w:val="000000"/>
                <w:sz w:val="16"/>
                <w:szCs w:val="16"/>
              </w:rPr>
            </w:pPr>
            <w:r>
              <w:rPr>
                <w:rFonts w:cs="Arial"/>
                <w:sz w:val="16"/>
                <w:szCs w:val="16"/>
              </w:rPr>
              <w:t>Héctor Salvador Hernández Gallegos</w:t>
            </w:r>
          </w:p>
          <w:p w:rsidR="006967AE" w:rsidRPr="00EC79B6" w:rsidRDefault="006967AE" w:rsidP="006967AE">
            <w:pPr>
              <w:spacing w:after="0" w:line="240" w:lineRule="auto"/>
              <w:jc w:val="center"/>
              <w:rPr>
                <w:rFonts w:cs="Arial"/>
                <w:color w:val="000000"/>
                <w:sz w:val="16"/>
                <w:szCs w:val="16"/>
              </w:rPr>
            </w:pPr>
          </w:p>
        </w:tc>
        <w:tc>
          <w:tcPr>
            <w:tcW w:w="1791" w:type="pct"/>
            <w:tcMar>
              <w:top w:w="0" w:type="dxa"/>
              <w:left w:w="108" w:type="dxa"/>
              <w:bottom w:w="0" w:type="dxa"/>
              <w:right w:w="108" w:type="dxa"/>
            </w:tcMar>
            <w:vAlign w:val="center"/>
          </w:tcPr>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Juan Villa Montoya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15.</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TEEA-JDC-049/2019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T</w:t>
            </w:r>
            <w:r w:rsidR="00DA49F0">
              <w:rPr>
                <w:rFonts w:cs="Arial"/>
                <w:color w:val="000000"/>
                <w:sz w:val="16"/>
                <w:szCs w:val="16"/>
              </w:rPr>
              <w:t>o</w:t>
            </w:r>
            <w:r w:rsidRPr="002307C7">
              <w:rPr>
                <w:rFonts w:cs="Arial"/>
                <w:color w:val="000000"/>
                <w:sz w:val="16"/>
                <w:szCs w:val="16"/>
              </w:rPr>
              <w:t>piltzin Regalado Cardona</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16.</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TEEA-JDC-050/2019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Luis Fernando Enciso Márquez</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17.</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TEEA-JDC-051/2019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Juan Serna Calzada</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18.</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TEEA-JDC-052/2019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Rafael Marín Lara</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19.</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TEEA-JDC-053/2019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Alejandro Mendoza Villalobos </w:t>
            </w:r>
          </w:p>
          <w:p w:rsidR="006967AE" w:rsidRPr="002307C7" w:rsidRDefault="006967AE" w:rsidP="006967AE">
            <w:pPr>
              <w:spacing w:after="0" w:line="240" w:lineRule="auto"/>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20.</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TEEA-JDC-054/2019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color w:val="000000"/>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Francisco Lu</w:t>
            </w:r>
            <w:r>
              <w:rPr>
                <w:rFonts w:cs="Arial"/>
                <w:color w:val="000000"/>
                <w:sz w:val="16"/>
                <w:szCs w:val="16"/>
              </w:rPr>
              <w:t>é</w:t>
            </w:r>
            <w:r w:rsidRPr="002307C7">
              <w:rPr>
                <w:rFonts w:cs="Arial"/>
                <w:color w:val="000000"/>
                <w:sz w:val="16"/>
                <w:szCs w:val="16"/>
              </w:rPr>
              <w:t>vano Ramírez</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21.</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TEEA-JDC-055/2019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Carlos Guerrero Olvera</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22.</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TEEA-JDC-056/2019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Francisco Ríos Silva</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23.</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TEEA-JDC-057/2019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V</w:t>
            </w:r>
            <w:r>
              <w:rPr>
                <w:rFonts w:cs="Arial"/>
                <w:color w:val="000000"/>
                <w:sz w:val="16"/>
                <w:szCs w:val="16"/>
              </w:rPr>
              <w:t>í</w:t>
            </w:r>
            <w:r w:rsidRPr="002307C7">
              <w:rPr>
                <w:rFonts w:cs="Arial"/>
                <w:color w:val="000000"/>
                <w:sz w:val="16"/>
                <w:szCs w:val="16"/>
              </w:rPr>
              <w:t xml:space="preserve">ctor Pérez Escalera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24.</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TEEA-JDC-058/2019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Santiago Sánchez Martínez</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25.</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TEEA-JDC-059/2019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Antonia Morales Ramírez</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26.</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TEEA-JDC-060/2019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Nubia Lucero Carre</w:t>
            </w:r>
            <w:r>
              <w:rPr>
                <w:rFonts w:cs="Arial"/>
                <w:color w:val="000000"/>
                <w:sz w:val="16"/>
                <w:szCs w:val="16"/>
              </w:rPr>
              <w:t>ó</w:t>
            </w:r>
            <w:r w:rsidRPr="002307C7">
              <w:rPr>
                <w:rFonts w:cs="Arial"/>
                <w:color w:val="000000"/>
                <w:sz w:val="16"/>
                <w:szCs w:val="16"/>
              </w:rPr>
              <w:t>n Lu</w:t>
            </w:r>
            <w:r>
              <w:rPr>
                <w:rFonts w:cs="Arial"/>
                <w:color w:val="000000"/>
                <w:sz w:val="16"/>
                <w:szCs w:val="16"/>
              </w:rPr>
              <w:t>é</w:t>
            </w:r>
            <w:r w:rsidRPr="002307C7">
              <w:rPr>
                <w:rFonts w:cs="Arial"/>
                <w:color w:val="000000"/>
                <w:sz w:val="16"/>
                <w:szCs w:val="16"/>
              </w:rPr>
              <w:t xml:space="preserve">vano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27.</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TEEA-JDC-061/2019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María Guadalupe Martínez </w:t>
            </w:r>
            <w:proofErr w:type="spellStart"/>
            <w:r w:rsidRPr="002307C7">
              <w:rPr>
                <w:rFonts w:cs="Arial"/>
                <w:color w:val="000000"/>
                <w:sz w:val="16"/>
                <w:szCs w:val="16"/>
              </w:rPr>
              <w:t>Vazquez</w:t>
            </w:r>
            <w:proofErr w:type="spellEnd"/>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28.</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TEEA-JDC-062/2019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Cinthia Carolina Hernández Serrano</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29.</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TEEA-JDC-063/2019</w:t>
            </w:r>
          </w:p>
        </w:tc>
        <w:tc>
          <w:tcPr>
            <w:tcW w:w="1791" w:type="pct"/>
          </w:tcPr>
          <w:p w:rsidR="006967AE" w:rsidRDefault="006967AE" w:rsidP="006967AE">
            <w:pPr>
              <w:spacing w:after="0" w:line="240" w:lineRule="auto"/>
              <w:jc w:val="center"/>
              <w:rPr>
                <w:rFonts w:cs="Arial"/>
                <w:color w:val="000000"/>
                <w:sz w:val="16"/>
                <w:szCs w:val="16"/>
              </w:rPr>
            </w:pPr>
          </w:p>
          <w:p w:rsidR="006967AE" w:rsidRDefault="006967AE" w:rsidP="006967AE">
            <w:pPr>
              <w:spacing w:after="0" w:line="240" w:lineRule="auto"/>
              <w:jc w:val="center"/>
              <w:rPr>
                <w:rFonts w:cs="Arial"/>
                <w:sz w:val="16"/>
                <w:szCs w:val="16"/>
              </w:rPr>
            </w:pPr>
            <w:r>
              <w:rPr>
                <w:rFonts w:cs="Arial"/>
                <w:sz w:val="16"/>
                <w:szCs w:val="16"/>
              </w:rPr>
              <w:t>Héctor Salvador Hernández Gallegos</w:t>
            </w:r>
          </w:p>
          <w:p w:rsidR="006967AE" w:rsidRPr="00EC79B6" w:rsidRDefault="006967AE" w:rsidP="006967AE">
            <w:pPr>
              <w:spacing w:after="0" w:line="240" w:lineRule="auto"/>
              <w:jc w:val="center"/>
              <w:rPr>
                <w:rFonts w:cs="Arial"/>
                <w:color w:val="000000"/>
                <w:sz w:val="16"/>
                <w:szCs w:val="16"/>
              </w:rPr>
            </w:pP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Marcela de Luna Macías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30.</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TEEA-JDC-064/2019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Yessenia Mendoza Ibarra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31.</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TEEA-JDC-065/2019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María Arcelia Serrano Moreno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32.</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TEEA-JDC-066/2019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María Cristina Vallejo Salas</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33.</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TEEA-JDC-067/2019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Oyuki Herrera Pedroza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34.</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TEEA-JDC-068/2019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Irma Luna Quezada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35.</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TEEA-JDC-069/2019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Silvia Cristina Castañeda Isaac</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lastRenderedPageBreak/>
              <w:t>36.</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TEEA-JDC-070/2019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Rocío Hernández</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37.</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TEEA-JDC-071/2019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Valeria Marcela </w:t>
            </w:r>
            <w:r>
              <w:rPr>
                <w:rFonts w:cs="Arial"/>
                <w:color w:val="000000"/>
                <w:sz w:val="16"/>
                <w:szCs w:val="16"/>
              </w:rPr>
              <w:t>Á</w:t>
            </w:r>
            <w:r w:rsidRPr="002307C7">
              <w:rPr>
                <w:rFonts w:cs="Arial"/>
                <w:color w:val="000000"/>
                <w:sz w:val="16"/>
                <w:szCs w:val="16"/>
              </w:rPr>
              <w:t xml:space="preserve">guila Gómez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38.</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TEEA-JDC-072/2019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Margarita Zapata Vallejo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39.</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TEEA-JDC-073/2019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Dulce Margarita Arellano </w:t>
            </w:r>
            <w:proofErr w:type="spellStart"/>
            <w:r w:rsidRPr="002307C7">
              <w:rPr>
                <w:rFonts w:cs="Arial"/>
                <w:color w:val="000000"/>
                <w:sz w:val="16"/>
                <w:szCs w:val="16"/>
              </w:rPr>
              <w:t>Gourcy</w:t>
            </w:r>
            <w:proofErr w:type="spellEnd"/>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40.</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TEEA-JDC-074/2019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Julio Campos Vargas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41.</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TEEA-JDC-075/2019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Juan Galván </w:t>
            </w:r>
            <w:proofErr w:type="spellStart"/>
            <w:r w:rsidRPr="002307C7">
              <w:rPr>
                <w:rFonts w:cs="Arial"/>
                <w:color w:val="000000"/>
                <w:sz w:val="16"/>
                <w:szCs w:val="16"/>
              </w:rPr>
              <w:t>Galván</w:t>
            </w:r>
            <w:proofErr w:type="spellEnd"/>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42.</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TEEA-JDC-076/2019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José Israel Galván </w:t>
            </w:r>
            <w:proofErr w:type="spellStart"/>
            <w:r w:rsidRPr="002307C7">
              <w:rPr>
                <w:rFonts w:cs="Arial"/>
                <w:color w:val="000000"/>
                <w:sz w:val="16"/>
                <w:szCs w:val="16"/>
              </w:rPr>
              <w:t>Galván</w:t>
            </w:r>
            <w:proofErr w:type="spellEnd"/>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43.</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TEEA-JDC-077/2019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Erik Francisco Tinajero López</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44.</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TEEA-JDC-078/2019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Héctor Salvador Hernández Gallegos</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Francisco Javier Quezada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45.</w:t>
            </w:r>
          </w:p>
        </w:tc>
        <w:tc>
          <w:tcPr>
            <w:tcW w:w="1083" w:type="pct"/>
            <w:tcMar>
              <w:top w:w="0" w:type="dxa"/>
              <w:left w:w="108" w:type="dxa"/>
              <w:bottom w:w="0" w:type="dxa"/>
              <w:right w:w="108" w:type="dxa"/>
            </w:tcMar>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TEEA-JDC-079/2019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Claudia Eloísa Díaz de León González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Mariana Acosta Reyes </w:t>
            </w:r>
          </w:p>
          <w:p w:rsidR="006967AE" w:rsidRPr="002307C7" w:rsidRDefault="006967AE" w:rsidP="006967AE">
            <w:pPr>
              <w:spacing w:after="0" w:line="240" w:lineRule="auto"/>
              <w:jc w:val="center"/>
              <w:rPr>
                <w:rFonts w:cs="Arial"/>
                <w:color w:val="000000"/>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46.</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TEEA-JDC-080/2019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Rosa María Galván </w:t>
            </w:r>
            <w:proofErr w:type="spellStart"/>
            <w:r w:rsidRPr="002307C7">
              <w:rPr>
                <w:rFonts w:cs="Arial"/>
                <w:color w:val="000000"/>
                <w:sz w:val="16"/>
                <w:szCs w:val="16"/>
              </w:rPr>
              <w:t>Galván</w:t>
            </w:r>
            <w:proofErr w:type="spellEnd"/>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47.</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TEEA-JDC-081/2019</w:t>
            </w:r>
          </w:p>
        </w:tc>
        <w:tc>
          <w:tcPr>
            <w:tcW w:w="1791" w:type="pct"/>
          </w:tcPr>
          <w:p w:rsidR="006967AE" w:rsidRDefault="006967AE" w:rsidP="006967AE">
            <w:pPr>
              <w:spacing w:after="0" w:line="240" w:lineRule="auto"/>
              <w:jc w:val="center"/>
              <w:rPr>
                <w:rFonts w:cs="Arial"/>
                <w:sz w:val="16"/>
                <w:szCs w:val="16"/>
              </w:rPr>
            </w:pPr>
          </w:p>
          <w:p w:rsidR="006967AE" w:rsidRDefault="006967AE" w:rsidP="006967AE">
            <w:pPr>
              <w:spacing w:after="0" w:line="240" w:lineRule="auto"/>
              <w:jc w:val="center"/>
              <w:rPr>
                <w:rFonts w:cs="Arial"/>
                <w:sz w:val="16"/>
                <w:szCs w:val="16"/>
              </w:rPr>
            </w:pPr>
            <w:r>
              <w:rPr>
                <w:rFonts w:cs="Arial"/>
                <w:sz w:val="16"/>
                <w:szCs w:val="16"/>
              </w:rPr>
              <w:t>Jorge Ramón Díaz de León Gutiérrez</w:t>
            </w:r>
          </w:p>
          <w:p w:rsidR="006967AE" w:rsidRPr="00EC79B6" w:rsidRDefault="006967AE" w:rsidP="006967AE">
            <w:pPr>
              <w:spacing w:after="0" w:line="240" w:lineRule="auto"/>
              <w:jc w:val="center"/>
              <w:rPr>
                <w:rFonts w:cs="Arial"/>
                <w:color w:val="000000"/>
                <w:sz w:val="16"/>
                <w:szCs w:val="16"/>
              </w:rPr>
            </w:pP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Alma Luevano Villalobos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48.</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TEEA-JDC-082/2019</w:t>
            </w:r>
          </w:p>
        </w:tc>
        <w:tc>
          <w:tcPr>
            <w:tcW w:w="1791" w:type="pct"/>
          </w:tcPr>
          <w:p w:rsidR="006967AE" w:rsidRDefault="006967AE" w:rsidP="006967AE">
            <w:pPr>
              <w:spacing w:after="0" w:line="240" w:lineRule="auto"/>
              <w:jc w:val="center"/>
              <w:rPr>
                <w:rFonts w:cs="Arial"/>
                <w:sz w:val="16"/>
                <w:szCs w:val="16"/>
              </w:rPr>
            </w:pPr>
          </w:p>
          <w:p w:rsidR="006967AE" w:rsidRDefault="006967AE" w:rsidP="006967AE">
            <w:pPr>
              <w:spacing w:after="0" w:line="240" w:lineRule="auto"/>
              <w:jc w:val="center"/>
              <w:rPr>
                <w:rFonts w:cs="Arial"/>
                <w:sz w:val="16"/>
                <w:szCs w:val="16"/>
              </w:rPr>
            </w:pPr>
            <w:r>
              <w:rPr>
                <w:rFonts w:cs="Arial"/>
                <w:sz w:val="16"/>
                <w:szCs w:val="16"/>
              </w:rPr>
              <w:t>Jorge Ramón Díaz de León Gutiérrez</w:t>
            </w:r>
          </w:p>
          <w:p w:rsidR="006967AE" w:rsidRPr="00EC79B6" w:rsidRDefault="006967AE" w:rsidP="006967AE">
            <w:pPr>
              <w:spacing w:after="0" w:line="240" w:lineRule="auto"/>
              <w:jc w:val="center"/>
              <w:rPr>
                <w:rFonts w:cs="Arial"/>
                <w:color w:val="000000"/>
                <w:sz w:val="16"/>
                <w:szCs w:val="16"/>
              </w:rPr>
            </w:pPr>
          </w:p>
        </w:tc>
        <w:tc>
          <w:tcPr>
            <w:tcW w:w="1791" w:type="pct"/>
            <w:tcMar>
              <w:top w:w="0" w:type="dxa"/>
              <w:left w:w="108" w:type="dxa"/>
              <w:bottom w:w="0" w:type="dxa"/>
              <w:right w:w="108" w:type="dxa"/>
            </w:tcMar>
            <w:vAlign w:val="center"/>
          </w:tcPr>
          <w:p w:rsidR="006967AE" w:rsidRPr="002307C7" w:rsidRDefault="006967AE" w:rsidP="006967AE">
            <w:pPr>
              <w:spacing w:after="0" w:line="240" w:lineRule="auto"/>
              <w:jc w:val="center"/>
              <w:rPr>
                <w:rFonts w:cs="Arial"/>
                <w:sz w:val="16"/>
                <w:szCs w:val="16"/>
              </w:rPr>
            </w:pPr>
            <w:r w:rsidRPr="002307C7">
              <w:rPr>
                <w:rFonts w:cs="Arial"/>
                <w:color w:val="000000"/>
                <w:sz w:val="16"/>
                <w:szCs w:val="16"/>
              </w:rPr>
              <w:t>Blanca Flor G</w:t>
            </w:r>
            <w:r>
              <w:rPr>
                <w:rFonts w:cs="Arial"/>
                <w:color w:val="000000"/>
                <w:sz w:val="16"/>
                <w:szCs w:val="16"/>
              </w:rPr>
              <w:t>u</w:t>
            </w:r>
            <w:r w:rsidRPr="002307C7">
              <w:rPr>
                <w:rFonts w:cs="Arial"/>
                <w:color w:val="000000"/>
                <w:sz w:val="16"/>
                <w:szCs w:val="16"/>
              </w:rPr>
              <w:t>zm</w:t>
            </w:r>
            <w:r>
              <w:rPr>
                <w:rFonts w:cs="Arial"/>
                <w:color w:val="000000"/>
                <w:sz w:val="16"/>
                <w:szCs w:val="16"/>
              </w:rPr>
              <w:t>á</w:t>
            </w:r>
            <w:r w:rsidRPr="002307C7">
              <w:rPr>
                <w:rFonts w:cs="Arial"/>
                <w:color w:val="000000"/>
                <w:sz w:val="16"/>
                <w:szCs w:val="16"/>
              </w:rPr>
              <w:t>n Campos</w:t>
            </w: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49.</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TEEA-JDC-083/2019</w:t>
            </w:r>
          </w:p>
        </w:tc>
        <w:tc>
          <w:tcPr>
            <w:tcW w:w="1791" w:type="pct"/>
          </w:tcPr>
          <w:p w:rsidR="006967AE" w:rsidRDefault="006967AE" w:rsidP="006967AE">
            <w:pPr>
              <w:spacing w:after="0" w:line="240" w:lineRule="auto"/>
              <w:jc w:val="center"/>
              <w:rPr>
                <w:rFonts w:cs="Arial"/>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Default="006967AE" w:rsidP="006967AE">
            <w:pPr>
              <w:spacing w:after="0" w:line="240" w:lineRule="auto"/>
              <w:jc w:val="center"/>
              <w:rPr>
                <w:rFonts w:cs="Arial"/>
                <w:color w:val="000000"/>
                <w:sz w:val="16"/>
                <w:szCs w:val="16"/>
              </w:rPr>
            </w:pPr>
            <w:r w:rsidRPr="002307C7">
              <w:rPr>
                <w:rFonts w:cs="Arial"/>
                <w:color w:val="000000"/>
                <w:sz w:val="16"/>
                <w:szCs w:val="16"/>
              </w:rPr>
              <w:t>Rosa María Castañeda Elías</w:t>
            </w:r>
          </w:p>
          <w:p w:rsidR="006967AE" w:rsidRPr="002307C7" w:rsidRDefault="006967AE" w:rsidP="006967AE">
            <w:pPr>
              <w:spacing w:after="0" w:line="240" w:lineRule="auto"/>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50.</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TEEA-JDC-084/2019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Ana Carmen Martínez </w:t>
            </w:r>
            <w:proofErr w:type="spellStart"/>
            <w:r w:rsidRPr="002307C7">
              <w:rPr>
                <w:rFonts w:cs="Arial"/>
                <w:color w:val="000000"/>
                <w:sz w:val="16"/>
                <w:szCs w:val="16"/>
              </w:rPr>
              <w:t>Avila</w:t>
            </w:r>
            <w:proofErr w:type="spellEnd"/>
            <w:r w:rsidRPr="002307C7">
              <w:rPr>
                <w:rFonts w:cs="Arial"/>
                <w:color w:val="000000"/>
                <w:sz w:val="16"/>
                <w:szCs w:val="16"/>
              </w:rPr>
              <w:t xml:space="preserve"> </w:t>
            </w:r>
          </w:p>
          <w:p w:rsidR="006967AE" w:rsidRPr="002307C7" w:rsidRDefault="006967AE" w:rsidP="006967AE">
            <w:pPr>
              <w:spacing w:after="0" w:line="240" w:lineRule="auto"/>
              <w:ind w:right="49"/>
              <w:jc w:val="center"/>
              <w:rPr>
                <w:rFonts w:cs="Arial"/>
                <w:sz w:val="16"/>
                <w:szCs w:val="16"/>
              </w:rPr>
            </w:pPr>
          </w:p>
        </w:tc>
      </w:tr>
      <w:tr w:rsidR="006967AE" w:rsidRPr="004573D8" w:rsidTr="00415EC1">
        <w:trPr>
          <w:trHeight w:val="397"/>
          <w:jc w:val="center"/>
        </w:trPr>
        <w:tc>
          <w:tcPr>
            <w:tcW w:w="335" w:type="pct"/>
            <w:vAlign w:val="center"/>
          </w:tcPr>
          <w:p w:rsidR="006967AE"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51.</w:t>
            </w:r>
          </w:p>
        </w:tc>
        <w:tc>
          <w:tcPr>
            <w:tcW w:w="1083" w:type="pct"/>
            <w:tcMar>
              <w:top w:w="0" w:type="dxa"/>
              <w:left w:w="108" w:type="dxa"/>
              <w:bottom w:w="0" w:type="dxa"/>
              <w:right w:w="108" w:type="dxa"/>
            </w:tcMar>
            <w:vAlign w:val="center"/>
          </w:tcPr>
          <w:p w:rsidR="006967AE" w:rsidRPr="004573D8" w:rsidRDefault="006967AE" w:rsidP="006967AE">
            <w:pPr>
              <w:autoSpaceDE w:val="0"/>
              <w:autoSpaceDN w:val="0"/>
              <w:adjustRightInd w:val="0"/>
              <w:spacing w:after="0" w:line="240" w:lineRule="auto"/>
              <w:ind w:right="49"/>
              <w:jc w:val="center"/>
              <w:rPr>
                <w:rFonts w:cs="Arial"/>
                <w:sz w:val="16"/>
                <w:szCs w:val="16"/>
              </w:rPr>
            </w:pPr>
            <w:r>
              <w:rPr>
                <w:rFonts w:cs="Arial"/>
                <w:sz w:val="16"/>
                <w:szCs w:val="16"/>
              </w:rPr>
              <w:t>TEEA-JDC-085/2019</w:t>
            </w:r>
          </w:p>
        </w:tc>
        <w:tc>
          <w:tcPr>
            <w:tcW w:w="1791" w:type="pct"/>
          </w:tcPr>
          <w:p w:rsidR="006967AE" w:rsidRDefault="006967AE" w:rsidP="006967AE">
            <w:pPr>
              <w:spacing w:after="0" w:line="240" w:lineRule="auto"/>
              <w:jc w:val="center"/>
              <w:rPr>
                <w:rFonts w:cs="Arial"/>
                <w:color w:val="000000"/>
                <w:sz w:val="16"/>
                <w:szCs w:val="16"/>
              </w:rPr>
            </w:pPr>
          </w:p>
          <w:p w:rsidR="006967AE" w:rsidRPr="00EC79B6" w:rsidRDefault="006967AE" w:rsidP="006967AE">
            <w:pPr>
              <w:spacing w:after="0" w:line="240" w:lineRule="auto"/>
              <w:jc w:val="center"/>
              <w:rPr>
                <w:rFonts w:cs="Arial"/>
                <w:color w:val="000000"/>
                <w:sz w:val="16"/>
                <w:szCs w:val="16"/>
              </w:rPr>
            </w:pPr>
            <w:r>
              <w:rPr>
                <w:rFonts w:cs="Arial"/>
                <w:sz w:val="16"/>
                <w:szCs w:val="16"/>
              </w:rPr>
              <w:t>Jorge Ramón Díaz de León Gutiérrez</w:t>
            </w:r>
          </w:p>
        </w:tc>
        <w:tc>
          <w:tcPr>
            <w:tcW w:w="1791" w:type="pct"/>
            <w:tcMar>
              <w:top w:w="0" w:type="dxa"/>
              <w:left w:w="108" w:type="dxa"/>
              <w:bottom w:w="0" w:type="dxa"/>
              <w:right w:w="108" w:type="dxa"/>
            </w:tcMar>
            <w:vAlign w:val="center"/>
          </w:tcPr>
          <w:p w:rsidR="006967AE" w:rsidRDefault="006967AE" w:rsidP="006967AE">
            <w:pPr>
              <w:spacing w:after="0" w:line="240" w:lineRule="auto"/>
              <w:jc w:val="center"/>
              <w:rPr>
                <w:rFonts w:cs="Arial"/>
                <w:color w:val="000000"/>
                <w:sz w:val="16"/>
                <w:szCs w:val="16"/>
              </w:rPr>
            </w:pPr>
          </w:p>
          <w:p w:rsidR="006967AE" w:rsidRPr="002307C7" w:rsidRDefault="006967AE" w:rsidP="006967AE">
            <w:pPr>
              <w:spacing w:after="0" w:line="240" w:lineRule="auto"/>
              <w:jc w:val="center"/>
              <w:rPr>
                <w:rFonts w:cs="Arial"/>
                <w:color w:val="000000"/>
                <w:sz w:val="16"/>
                <w:szCs w:val="16"/>
              </w:rPr>
            </w:pPr>
            <w:r w:rsidRPr="002307C7">
              <w:rPr>
                <w:rFonts w:cs="Arial"/>
                <w:color w:val="000000"/>
                <w:sz w:val="16"/>
                <w:szCs w:val="16"/>
              </w:rPr>
              <w:t xml:space="preserve">Irma </w:t>
            </w:r>
            <w:proofErr w:type="spellStart"/>
            <w:r w:rsidRPr="002307C7">
              <w:rPr>
                <w:rFonts w:cs="Arial"/>
                <w:color w:val="000000"/>
                <w:sz w:val="16"/>
                <w:szCs w:val="16"/>
              </w:rPr>
              <w:t>Karola</w:t>
            </w:r>
            <w:proofErr w:type="spellEnd"/>
            <w:r w:rsidRPr="002307C7">
              <w:rPr>
                <w:rFonts w:cs="Arial"/>
                <w:color w:val="000000"/>
                <w:sz w:val="16"/>
                <w:szCs w:val="16"/>
              </w:rPr>
              <w:t xml:space="preserve"> Macías Martínez</w:t>
            </w:r>
          </w:p>
          <w:p w:rsidR="006967AE" w:rsidRPr="002307C7" w:rsidRDefault="006967AE" w:rsidP="006967AE">
            <w:pPr>
              <w:spacing w:after="0" w:line="240" w:lineRule="auto"/>
              <w:ind w:right="49"/>
              <w:jc w:val="center"/>
              <w:rPr>
                <w:rFonts w:cs="Arial"/>
                <w:sz w:val="16"/>
                <w:szCs w:val="16"/>
              </w:rPr>
            </w:pPr>
          </w:p>
        </w:tc>
      </w:tr>
      <w:bookmarkEnd w:id="2"/>
    </w:tbl>
    <w:p w:rsidR="006967AE" w:rsidRDefault="006967AE" w:rsidP="00D01CA2">
      <w:pPr>
        <w:pStyle w:val="Prrafodelista"/>
        <w:spacing w:after="160" w:line="360" w:lineRule="auto"/>
        <w:ind w:left="437" w:right="-283"/>
        <w:jc w:val="both"/>
        <w:rPr>
          <w:rFonts w:ascii="Arial" w:hAnsi="Arial" w:cs="Arial"/>
          <w:b/>
          <w:sz w:val="24"/>
          <w:szCs w:val="24"/>
        </w:rPr>
      </w:pPr>
    </w:p>
    <w:bookmarkEnd w:id="1"/>
    <w:p w:rsidR="00605EDB" w:rsidRPr="00F144C9" w:rsidRDefault="008E070D" w:rsidP="00095A22">
      <w:pPr>
        <w:pStyle w:val="NormalWeb"/>
        <w:numPr>
          <w:ilvl w:val="1"/>
          <w:numId w:val="3"/>
        </w:numPr>
        <w:tabs>
          <w:tab w:val="left" w:pos="-283"/>
        </w:tabs>
        <w:spacing w:before="0" w:beforeAutospacing="0" w:line="360" w:lineRule="auto"/>
        <w:ind w:left="-284" w:right="-283" w:firstLine="568"/>
        <w:contextualSpacing/>
        <w:mirrorIndents/>
        <w:jc w:val="both"/>
        <w:rPr>
          <w:rFonts w:ascii="Arial" w:hAnsi="Arial" w:cs="Arial"/>
          <w:b/>
        </w:rPr>
      </w:pPr>
      <w:r w:rsidRPr="001A5D29">
        <w:rPr>
          <w:rFonts w:ascii="Arial" w:hAnsi="Arial" w:cs="Arial"/>
          <w:b/>
        </w:rPr>
        <w:t>Radicación</w:t>
      </w:r>
      <w:r w:rsidR="00605EDB">
        <w:rPr>
          <w:rFonts w:ascii="Arial" w:hAnsi="Arial" w:cs="Arial"/>
          <w:b/>
        </w:rPr>
        <w:t xml:space="preserve"> y acumulación. </w:t>
      </w:r>
      <w:r w:rsidR="00605EDB">
        <w:rPr>
          <w:rFonts w:ascii="Arial" w:hAnsi="Arial" w:cs="Arial"/>
        </w:rPr>
        <w:t xml:space="preserve">Por acuerdo </w:t>
      </w:r>
      <w:r w:rsidR="006967AE">
        <w:rPr>
          <w:rFonts w:ascii="Arial" w:hAnsi="Arial" w:cs="Arial"/>
        </w:rPr>
        <w:t>d</w:t>
      </w:r>
      <w:r w:rsidR="00605EDB">
        <w:rPr>
          <w:rFonts w:ascii="Arial" w:hAnsi="Arial" w:cs="Arial"/>
        </w:rPr>
        <w:t>el Pleno de este Tribunal</w:t>
      </w:r>
      <w:r w:rsidR="006967AE">
        <w:rPr>
          <w:rFonts w:ascii="Arial" w:hAnsi="Arial" w:cs="Arial"/>
        </w:rPr>
        <w:t>,</w:t>
      </w:r>
      <w:r w:rsidR="00605EDB">
        <w:rPr>
          <w:rFonts w:ascii="Arial" w:hAnsi="Arial" w:cs="Arial"/>
        </w:rPr>
        <w:t xml:space="preserve"> </w:t>
      </w:r>
      <w:r w:rsidR="006967AE">
        <w:rPr>
          <w:rFonts w:ascii="Arial" w:hAnsi="Arial" w:cs="Arial"/>
        </w:rPr>
        <w:t>el once de abril se radicaron los expedientes antes referidos y se decretó su acumulación.</w:t>
      </w:r>
    </w:p>
    <w:p w:rsidR="00F144C9" w:rsidRDefault="00F144C9" w:rsidP="00F144C9">
      <w:pPr>
        <w:pStyle w:val="NormalWeb"/>
        <w:tabs>
          <w:tab w:val="left" w:pos="-283"/>
        </w:tabs>
        <w:spacing w:before="0" w:beforeAutospacing="0" w:line="360" w:lineRule="auto"/>
        <w:ind w:left="284" w:right="-283"/>
        <w:contextualSpacing/>
        <w:mirrorIndents/>
        <w:jc w:val="both"/>
        <w:rPr>
          <w:rFonts w:ascii="Arial" w:hAnsi="Arial" w:cs="Arial"/>
          <w:b/>
        </w:rPr>
      </w:pPr>
    </w:p>
    <w:p w:rsidR="008E070D" w:rsidRPr="00722CA5" w:rsidRDefault="008E070D" w:rsidP="00095A22">
      <w:pPr>
        <w:pStyle w:val="NormalWeb"/>
        <w:numPr>
          <w:ilvl w:val="1"/>
          <w:numId w:val="3"/>
        </w:numPr>
        <w:tabs>
          <w:tab w:val="left" w:pos="-283"/>
        </w:tabs>
        <w:spacing w:before="0" w:beforeAutospacing="0" w:line="360" w:lineRule="auto"/>
        <w:ind w:left="-284" w:right="-283" w:firstLine="568"/>
        <w:contextualSpacing/>
        <w:mirrorIndents/>
        <w:jc w:val="both"/>
        <w:rPr>
          <w:rFonts w:ascii="Arial" w:hAnsi="Arial" w:cs="Arial"/>
          <w:b/>
        </w:rPr>
      </w:pPr>
      <w:r w:rsidRPr="001A5D29">
        <w:rPr>
          <w:rFonts w:ascii="Arial" w:hAnsi="Arial" w:cs="Arial"/>
          <w:b/>
        </w:rPr>
        <w:t xml:space="preserve"> </w:t>
      </w:r>
      <w:r w:rsidR="00605EDB">
        <w:rPr>
          <w:rFonts w:ascii="Arial" w:hAnsi="Arial" w:cs="Arial"/>
          <w:b/>
        </w:rPr>
        <w:t>A</w:t>
      </w:r>
      <w:r w:rsidRPr="001A5D29">
        <w:rPr>
          <w:rFonts w:ascii="Arial" w:hAnsi="Arial" w:cs="Arial"/>
          <w:b/>
        </w:rPr>
        <w:t xml:space="preserve">dmisión y cierre de instrucción. </w:t>
      </w:r>
      <w:r w:rsidRPr="001A5D29">
        <w:rPr>
          <w:rFonts w:ascii="Arial" w:hAnsi="Arial" w:cs="Arial"/>
        </w:rPr>
        <w:t>E</w:t>
      </w:r>
      <w:r w:rsidR="00281CC5">
        <w:rPr>
          <w:rFonts w:ascii="Arial" w:hAnsi="Arial" w:cs="Arial"/>
        </w:rPr>
        <w:t xml:space="preserve">l dieciséis de abril, </w:t>
      </w:r>
      <w:r w:rsidRPr="001A5D29">
        <w:rPr>
          <w:rFonts w:ascii="Arial" w:hAnsi="Arial" w:cs="Arial"/>
        </w:rPr>
        <w:t xml:space="preserve">el Magistrado </w:t>
      </w:r>
      <w:r w:rsidR="00605EDB">
        <w:rPr>
          <w:rFonts w:ascii="Arial" w:hAnsi="Arial" w:cs="Arial"/>
        </w:rPr>
        <w:t xml:space="preserve">Jorge Ramón Díaz de León Gutiérrez </w:t>
      </w:r>
      <w:r w:rsidRPr="001A5D29">
        <w:rPr>
          <w:rFonts w:ascii="Arial" w:hAnsi="Arial" w:cs="Arial"/>
        </w:rPr>
        <w:t>admitió l</w:t>
      </w:r>
      <w:r w:rsidR="00605EDB">
        <w:rPr>
          <w:rFonts w:ascii="Arial" w:hAnsi="Arial" w:cs="Arial"/>
        </w:rPr>
        <w:t>os</w:t>
      </w:r>
      <w:r w:rsidRPr="001A5D29">
        <w:rPr>
          <w:rFonts w:ascii="Arial" w:hAnsi="Arial" w:cs="Arial"/>
        </w:rPr>
        <w:t xml:space="preserve"> asunto</w:t>
      </w:r>
      <w:r w:rsidR="00605EDB">
        <w:rPr>
          <w:rFonts w:ascii="Arial" w:hAnsi="Arial" w:cs="Arial"/>
        </w:rPr>
        <w:t>s</w:t>
      </w:r>
      <w:r>
        <w:rPr>
          <w:rFonts w:ascii="Arial" w:hAnsi="Arial" w:cs="Arial"/>
        </w:rPr>
        <w:t xml:space="preserve"> y</w:t>
      </w:r>
      <w:r w:rsidR="009D78D3" w:rsidRPr="009D78D3">
        <w:rPr>
          <w:rFonts w:ascii="Arial" w:hAnsi="Arial" w:cs="Arial"/>
        </w:rPr>
        <w:t>,</w:t>
      </w:r>
      <w:r w:rsidRPr="001A5D29">
        <w:rPr>
          <w:rFonts w:ascii="Arial" w:hAnsi="Arial" w:cs="Arial"/>
        </w:rPr>
        <w:t xml:space="preserve"> al no existir trámite pendiente por realizar, declaró cerrada la instrucción y ordenó que los autos quedaran en estado de dictar sentencia.</w:t>
      </w:r>
    </w:p>
    <w:p w:rsidR="008E070D" w:rsidRPr="00A276EB" w:rsidRDefault="008E070D" w:rsidP="00F144C9">
      <w:pPr>
        <w:pStyle w:val="NormalWeb"/>
        <w:spacing w:line="360" w:lineRule="auto"/>
        <w:ind w:left="-283" w:right="-283"/>
        <w:jc w:val="center"/>
        <w:rPr>
          <w:rFonts w:ascii="Arial" w:hAnsi="Arial" w:cs="Arial"/>
          <w:b/>
          <w:bCs/>
          <w:color w:val="000000"/>
        </w:rPr>
      </w:pPr>
      <w:r w:rsidRPr="00A276EB">
        <w:rPr>
          <w:rFonts w:ascii="Arial" w:hAnsi="Arial" w:cs="Arial"/>
          <w:b/>
          <w:bCs/>
          <w:color w:val="000000"/>
        </w:rPr>
        <w:t>CONSIDERACIONES</w:t>
      </w:r>
    </w:p>
    <w:p w:rsidR="008E070D" w:rsidRDefault="00914D88" w:rsidP="00CD39C1">
      <w:pPr>
        <w:pStyle w:val="NormalWeb"/>
        <w:spacing w:line="360" w:lineRule="auto"/>
        <w:ind w:left="-283" w:right="-283"/>
        <w:contextualSpacing/>
        <w:mirrorIndents/>
        <w:jc w:val="both"/>
        <w:rPr>
          <w:rFonts w:ascii="Arial" w:hAnsi="Arial" w:cs="Arial"/>
        </w:rPr>
      </w:pPr>
      <w:r>
        <w:rPr>
          <w:rFonts w:ascii="Arial" w:hAnsi="Arial" w:cs="Arial"/>
          <w:b/>
        </w:rPr>
        <w:lastRenderedPageBreak/>
        <w:t>PRIMERO.</w:t>
      </w:r>
      <w:r w:rsidR="008E070D">
        <w:rPr>
          <w:rFonts w:ascii="Arial" w:hAnsi="Arial" w:cs="Arial"/>
          <w:b/>
        </w:rPr>
        <w:t xml:space="preserve"> </w:t>
      </w:r>
      <w:r w:rsidRPr="002561A1">
        <w:rPr>
          <w:rFonts w:ascii="Arial" w:hAnsi="Arial" w:cs="Arial"/>
          <w:b/>
        </w:rPr>
        <w:t>COMPETENCIA</w:t>
      </w:r>
      <w:r w:rsidR="008E070D" w:rsidRPr="002561A1">
        <w:rPr>
          <w:rFonts w:ascii="Arial" w:hAnsi="Arial" w:cs="Arial"/>
          <w:b/>
        </w:rPr>
        <w:t xml:space="preserve">. </w:t>
      </w:r>
      <w:r w:rsidR="008E070D" w:rsidRPr="002561A1">
        <w:rPr>
          <w:rFonts w:ascii="Arial" w:hAnsi="Arial" w:cs="Arial"/>
        </w:rPr>
        <w:t>De conformidad con lo previsto en los artículos 1</w:t>
      </w:r>
      <w:r w:rsidR="00424FDA">
        <w:rPr>
          <w:rFonts w:ascii="Arial" w:hAnsi="Arial" w:cs="Arial"/>
        </w:rPr>
        <w:t>°</w:t>
      </w:r>
      <w:r w:rsidR="008E070D" w:rsidRPr="002561A1">
        <w:rPr>
          <w:rFonts w:ascii="Arial" w:hAnsi="Arial" w:cs="Arial"/>
        </w:rPr>
        <w:t>, 2</w:t>
      </w:r>
      <w:r w:rsidR="00424FDA">
        <w:rPr>
          <w:rFonts w:ascii="Arial" w:hAnsi="Arial" w:cs="Arial"/>
        </w:rPr>
        <w:t>°</w:t>
      </w:r>
      <w:r w:rsidR="008E070D">
        <w:rPr>
          <w:rFonts w:ascii="Arial" w:hAnsi="Arial" w:cs="Arial"/>
        </w:rPr>
        <w:t>,</w:t>
      </w:r>
      <w:r w:rsidR="008E070D" w:rsidRPr="002561A1">
        <w:rPr>
          <w:rFonts w:ascii="Arial" w:hAnsi="Arial" w:cs="Arial"/>
        </w:rPr>
        <w:t xml:space="preserve"> 9</w:t>
      </w:r>
      <w:r w:rsidR="00424FDA">
        <w:rPr>
          <w:rFonts w:ascii="Arial" w:hAnsi="Arial" w:cs="Arial"/>
        </w:rPr>
        <w:t>°</w:t>
      </w:r>
      <w:r w:rsidR="008E070D" w:rsidRPr="002561A1">
        <w:rPr>
          <w:rFonts w:ascii="Arial" w:hAnsi="Arial" w:cs="Arial"/>
        </w:rPr>
        <w:t xml:space="preserve"> y 10</w:t>
      </w:r>
      <w:r w:rsidR="00424FDA">
        <w:rPr>
          <w:rFonts w:ascii="Arial" w:hAnsi="Arial" w:cs="Arial"/>
        </w:rPr>
        <w:t>°</w:t>
      </w:r>
      <w:r w:rsidR="008E070D" w:rsidRPr="002561A1">
        <w:rPr>
          <w:rFonts w:ascii="Arial" w:hAnsi="Arial" w:cs="Arial"/>
        </w:rPr>
        <w:t>, fracción IV</w:t>
      </w:r>
      <w:r w:rsidR="008E070D">
        <w:rPr>
          <w:rFonts w:ascii="Arial" w:hAnsi="Arial" w:cs="Arial"/>
        </w:rPr>
        <w:t>,</w:t>
      </w:r>
      <w:r w:rsidR="008E070D" w:rsidRPr="002561A1">
        <w:rPr>
          <w:rFonts w:ascii="Arial" w:hAnsi="Arial" w:cs="Arial"/>
        </w:rPr>
        <w:t xml:space="preserve"> de los Lineamientos, este Tribunal es competente para resolver el Juicio para la Protección de los Derechos Político-Electorales del Ciudadano, interpuesto por </w:t>
      </w:r>
      <w:r w:rsidR="00424FDA">
        <w:rPr>
          <w:rFonts w:ascii="Arial" w:hAnsi="Arial" w:cs="Arial"/>
        </w:rPr>
        <w:t>los actores</w:t>
      </w:r>
      <w:r w:rsidR="008E070D" w:rsidRPr="002561A1">
        <w:rPr>
          <w:rFonts w:ascii="Arial" w:hAnsi="Arial" w:cs="Arial"/>
        </w:rPr>
        <w:t xml:space="preserve">, </w:t>
      </w:r>
      <w:r w:rsidR="008E070D">
        <w:rPr>
          <w:rFonts w:ascii="Arial" w:hAnsi="Arial" w:cs="Arial"/>
        </w:rPr>
        <w:t>por tratarse de juicio</w:t>
      </w:r>
      <w:r w:rsidR="008A3577">
        <w:rPr>
          <w:rFonts w:ascii="Arial" w:hAnsi="Arial" w:cs="Arial"/>
        </w:rPr>
        <w:t>s</w:t>
      </w:r>
      <w:r w:rsidR="008E070D">
        <w:rPr>
          <w:rFonts w:ascii="Arial" w:hAnsi="Arial" w:cs="Arial"/>
        </w:rPr>
        <w:t xml:space="preserve"> que promueve</w:t>
      </w:r>
      <w:r w:rsidR="00F75D0E">
        <w:rPr>
          <w:rFonts w:ascii="Arial" w:hAnsi="Arial" w:cs="Arial"/>
        </w:rPr>
        <w:t>n</w:t>
      </w:r>
      <w:r w:rsidR="008E070D">
        <w:rPr>
          <w:rFonts w:ascii="Arial" w:hAnsi="Arial" w:cs="Arial"/>
        </w:rPr>
        <w:t xml:space="preserve"> ciudadano</w:t>
      </w:r>
      <w:r w:rsidR="00F75D0E">
        <w:rPr>
          <w:rFonts w:ascii="Arial" w:hAnsi="Arial" w:cs="Arial"/>
        </w:rPr>
        <w:t>s</w:t>
      </w:r>
      <w:r w:rsidR="008E070D">
        <w:rPr>
          <w:rFonts w:ascii="Arial" w:hAnsi="Arial" w:cs="Arial"/>
        </w:rPr>
        <w:t xml:space="preserve"> contra actos acontecidos dentro del proceso interno de selección y postulación de candidaturas a </w:t>
      </w:r>
      <w:r w:rsidR="00095A22">
        <w:rPr>
          <w:rFonts w:ascii="Arial" w:hAnsi="Arial" w:cs="Arial"/>
        </w:rPr>
        <w:t xml:space="preserve">la presidencia municipal, sindicaturas y regidurías </w:t>
      </w:r>
      <w:r w:rsidR="008E070D">
        <w:rPr>
          <w:rFonts w:ascii="Arial" w:hAnsi="Arial" w:cs="Arial"/>
        </w:rPr>
        <w:t>en el proceso electoral 201</w:t>
      </w:r>
      <w:r w:rsidR="00095A22">
        <w:rPr>
          <w:rFonts w:ascii="Arial" w:hAnsi="Arial" w:cs="Arial"/>
        </w:rPr>
        <w:t>8</w:t>
      </w:r>
      <w:r w:rsidR="008E070D">
        <w:rPr>
          <w:rFonts w:ascii="Arial" w:hAnsi="Arial" w:cs="Arial"/>
        </w:rPr>
        <w:t>-201</w:t>
      </w:r>
      <w:r w:rsidR="00095A22">
        <w:rPr>
          <w:rFonts w:ascii="Arial" w:hAnsi="Arial" w:cs="Arial"/>
        </w:rPr>
        <w:t>9, del partido MORENA</w:t>
      </w:r>
      <w:r w:rsidR="008E070D">
        <w:rPr>
          <w:rFonts w:ascii="Arial" w:hAnsi="Arial" w:cs="Arial"/>
        </w:rPr>
        <w:t>.</w:t>
      </w:r>
    </w:p>
    <w:p w:rsidR="008E070D" w:rsidRPr="00C22BA8" w:rsidRDefault="008E070D" w:rsidP="00995B77">
      <w:pPr>
        <w:pStyle w:val="NormalWeb"/>
        <w:spacing w:line="360" w:lineRule="auto"/>
        <w:ind w:left="-283" w:right="-283"/>
        <w:contextualSpacing/>
        <w:mirrorIndents/>
        <w:jc w:val="both"/>
        <w:rPr>
          <w:rFonts w:ascii="Arial" w:hAnsi="Arial" w:cs="Arial"/>
        </w:rPr>
      </w:pPr>
    </w:p>
    <w:p w:rsidR="008E070D" w:rsidRPr="00861539" w:rsidRDefault="008A3577" w:rsidP="00995B77">
      <w:pPr>
        <w:pStyle w:val="NormalWeb"/>
        <w:spacing w:line="360" w:lineRule="auto"/>
        <w:ind w:left="-283" w:right="-283"/>
        <w:contextualSpacing/>
        <w:mirrorIndents/>
        <w:jc w:val="both"/>
        <w:rPr>
          <w:rFonts w:ascii="Arial" w:hAnsi="Arial" w:cs="Arial"/>
          <w:color w:val="FF0000"/>
        </w:rPr>
      </w:pPr>
      <w:r>
        <w:rPr>
          <w:rFonts w:ascii="Arial" w:hAnsi="Arial" w:cs="Arial"/>
        </w:rPr>
        <w:t>L</w:t>
      </w:r>
      <w:r w:rsidR="00F75D0E" w:rsidRPr="009D78D3">
        <w:rPr>
          <w:rFonts w:ascii="Arial" w:hAnsi="Arial" w:cs="Arial"/>
        </w:rPr>
        <w:t>os promoventes</w:t>
      </w:r>
      <w:r w:rsidR="008E070D" w:rsidRPr="009D78D3">
        <w:rPr>
          <w:rFonts w:ascii="Arial" w:hAnsi="Arial" w:cs="Arial"/>
        </w:rPr>
        <w:t xml:space="preserve"> aduce</w:t>
      </w:r>
      <w:r w:rsidR="00F75D0E" w:rsidRPr="009D78D3">
        <w:rPr>
          <w:rFonts w:ascii="Arial" w:hAnsi="Arial" w:cs="Arial"/>
        </w:rPr>
        <w:t>n</w:t>
      </w:r>
      <w:r w:rsidR="008E070D" w:rsidRPr="009D78D3">
        <w:rPr>
          <w:rFonts w:ascii="Arial" w:hAnsi="Arial" w:cs="Arial"/>
        </w:rPr>
        <w:t xml:space="preserve"> un perjuicio a su derecho a ser votado, en tanto que pretende</w:t>
      </w:r>
      <w:r w:rsidR="009D78D3" w:rsidRPr="009D78D3">
        <w:rPr>
          <w:rFonts w:ascii="Arial" w:hAnsi="Arial" w:cs="Arial"/>
        </w:rPr>
        <w:t>n</w:t>
      </w:r>
      <w:r w:rsidR="008E070D" w:rsidRPr="009D78D3">
        <w:rPr>
          <w:rFonts w:ascii="Arial" w:hAnsi="Arial" w:cs="Arial"/>
        </w:rPr>
        <w:t xml:space="preserve"> ser</w:t>
      </w:r>
      <w:r w:rsidR="008E070D" w:rsidRPr="00C22BA8">
        <w:rPr>
          <w:rFonts w:ascii="Arial" w:hAnsi="Arial" w:cs="Arial"/>
        </w:rPr>
        <w:t xml:space="preserve"> </w:t>
      </w:r>
      <w:r w:rsidR="00E352F8">
        <w:rPr>
          <w:rFonts w:ascii="Arial" w:hAnsi="Arial" w:cs="Arial"/>
        </w:rPr>
        <w:t xml:space="preserve">registrados como </w:t>
      </w:r>
      <w:r w:rsidR="008E070D">
        <w:rPr>
          <w:rFonts w:ascii="Arial" w:hAnsi="Arial" w:cs="Arial"/>
        </w:rPr>
        <w:t>candidato</w:t>
      </w:r>
      <w:r w:rsidR="009D78D3">
        <w:rPr>
          <w:rFonts w:ascii="Arial" w:hAnsi="Arial" w:cs="Arial"/>
        </w:rPr>
        <w:t>s</w:t>
      </w:r>
      <w:r w:rsidR="008E070D">
        <w:rPr>
          <w:rFonts w:ascii="Arial" w:hAnsi="Arial" w:cs="Arial"/>
        </w:rPr>
        <w:t xml:space="preserve"> </w:t>
      </w:r>
      <w:r w:rsidR="00E352F8">
        <w:rPr>
          <w:rFonts w:ascii="Arial" w:hAnsi="Arial" w:cs="Arial"/>
        </w:rPr>
        <w:t xml:space="preserve">a los cargos de </w:t>
      </w:r>
      <w:r w:rsidR="00095A22">
        <w:rPr>
          <w:rFonts w:ascii="Arial" w:hAnsi="Arial" w:cs="Arial"/>
        </w:rPr>
        <w:t>presidentes municipales</w:t>
      </w:r>
      <w:r w:rsidR="00E352F8">
        <w:rPr>
          <w:rFonts w:ascii="Arial" w:hAnsi="Arial" w:cs="Arial"/>
        </w:rPr>
        <w:t>, síndicos y regidores de diversos municipios del Estado de Aguascalientes.</w:t>
      </w:r>
    </w:p>
    <w:p w:rsidR="008E070D" w:rsidRDefault="008E070D" w:rsidP="00995B77">
      <w:pPr>
        <w:pStyle w:val="NormalWeb"/>
        <w:spacing w:line="360" w:lineRule="auto"/>
        <w:ind w:left="-283" w:right="-283"/>
        <w:contextualSpacing/>
        <w:mirrorIndents/>
        <w:jc w:val="both"/>
        <w:rPr>
          <w:rFonts w:ascii="Arial" w:hAnsi="Arial" w:cs="Arial"/>
          <w:b/>
        </w:rPr>
      </w:pPr>
    </w:p>
    <w:p w:rsidR="00914D88" w:rsidRPr="00914D88" w:rsidRDefault="00914D88" w:rsidP="00951054">
      <w:pPr>
        <w:pStyle w:val="NormalWeb"/>
        <w:spacing w:line="360" w:lineRule="auto"/>
        <w:ind w:left="-283" w:right="-283"/>
        <w:contextualSpacing/>
        <w:mirrorIndents/>
        <w:jc w:val="both"/>
        <w:rPr>
          <w:rFonts w:ascii="Arial" w:hAnsi="Arial" w:cs="Arial"/>
        </w:rPr>
      </w:pPr>
      <w:r>
        <w:rPr>
          <w:rFonts w:ascii="Arial" w:hAnsi="Arial" w:cs="Arial"/>
          <w:b/>
        </w:rPr>
        <w:t xml:space="preserve">SEGUNDO. PROCEDENCIA. </w:t>
      </w:r>
      <w:r>
        <w:rPr>
          <w:rFonts w:ascii="Arial" w:hAnsi="Arial" w:cs="Arial"/>
        </w:rPr>
        <w:t xml:space="preserve">Los juicios para la protección de los derechos político-electorales son procedentes </w:t>
      </w:r>
      <w:r w:rsidR="00E5098F">
        <w:rPr>
          <w:rFonts w:ascii="Arial" w:hAnsi="Arial" w:cs="Arial"/>
        </w:rPr>
        <w:t xml:space="preserve">en tanto que los actores aducen una vulneración a su derecho político-electoral a ser votados, al no ser registrados </w:t>
      </w:r>
      <w:r w:rsidR="00D407A0">
        <w:rPr>
          <w:rFonts w:ascii="Arial" w:hAnsi="Arial" w:cs="Arial"/>
        </w:rPr>
        <w:t xml:space="preserve">ante </w:t>
      </w:r>
      <w:r w:rsidR="00765D08">
        <w:rPr>
          <w:rFonts w:ascii="Arial" w:hAnsi="Arial" w:cs="Arial"/>
        </w:rPr>
        <w:t xml:space="preserve">los Consejos Municipales Electorales </w:t>
      </w:r>
      <w:r w:rsidR="00E5098F">
        <w:rPr>
          <w:rFonts w:ascii="Arial" w:hAnsi="Arial" w:cs="Arial"/>
        </w:rPr>
        <w:t>como candidatos a los diversos cargos de elección popular de los Ayuntamien</w:t>
      </w:r>
      <w:r w:rsidR="00A24587">
        <w:rPr>
          <w:rFonts w:ascii="Arial" w:hAnsi="Arial" w:cs="Arial"/>
        </w:rPr>
        <w:t>t</w:t>
      </w:r>
      <w:r w:rsidR="00E5098F">
        <w:rPr>
          <w:rFonts w:ascii="Arial" w:hAnsi="Arial" w:cs="Arial"/>
        </w:rPr>
        <w:t>o</w:t>
      </w:r>
      <w:r w:rsidR="00A24587">
        <w:rPr>
          <w:rFonts w:ascii="Arial" w:hAnsi="Arial" w:cs="Arial"/>
        </w:rPr>
        <w:t xml:space="preserve">s </w:t>
      </w:r>
      <w:r w:rsidR="00E5098F">
        <w:rPr>
          <w:rFonts w:ascii="Arial" w:hAnsi="Arial" w:cs="Arial"/>
        </w:rPr>
        <w:t>que conforman el Estado de Aguascalientes, por parte de las autoridades partidistas del partido político MORENA</w:t>
      </w:r>
      <w:r w:rsidR="006A287A">
        <w:rPr>
          <w:rFonts w:ascii="Arial" w:hAnsi="Arial" w:cs="Arial"/>
        </w:rPr>
        <w:t xml:space="preserve">, con base en el </w:t>
      </w:r>
      <w:proofErr w:type="spellStart"/>
      <w:r w:rsidR="006A287A">
        <w:rPr>
          <w:rFonts w:ascii="Arial" w:hAnsi="Arial" w:cs="Arial"/>
        </w:rPr>
        <w:t>predictamen</w:t>
      </w:r>
      <w:proofErr w:type="spellEnd"/>
      <w:r w:rsidR="006A287A">
        <w:rPr>
          <w:rFonts w:ascii="Arial" w:hAnsi="Arial" w:cs="Arial"/>
        </w:rPr>
        <w:t xml:space="preserve"> de cinco de abril</w:t>
      </w:r>
      <w:r w:rsidR="00E5098F">
        <w:rPr>
          <w:rFonts w:ascii="Arial" w:hAnsi="Arial" w:cs="Arial"/>
        </w:rPr>
        <w:t xml:space="preserve">. </w:t>
      </w:r>
    </w:p>
    <w:p w:rsidR="00914D88" w:rsidRDefault="00914D88" w:rsidP="00951054">
      <w:pPr>
        <w:pStyle w:val="NormalWeb"/>
        <w:spacing w:line="360" w:lineRule="auto"/>
        <w:ind w:left="-283" w:right="-283"/>
        <w:contextualSpacing/>
        <w:mirrorIndents/>
        <w:jc w:val="both"/>
        <w:rPr>
          <w:rFonts w:ascii="Arial" w:hAnsi="Arial" w:cs="Arial"/>
          <w:b/>
        </w:rPr>
      </w:pPr>
    </w:p>
    <w:p w:rsidR="00951054" w:rsidRPr="00DA49F0" w:rsidRDefault="00951054" w:rsidP="00951054">
      <w:pPr>
        <w:pStyle w:val="NormalWeb"/>
        <w:spacing w:line="360" w:lineRule="auto"/>
        <w:ind w:left="-283" w:right="-283"/>
        <w:contextualSpacing/>
        <w:mirrorIndents/>
        <w:jc w:val="both"/>
        <w:rPr>
          <w:rFonts w:ascii="Arial" w:hAnsi="Arial" w:cs="Arial"/>
          <w:b/>
        </w:rPr>
      </w:pPr>
      <w:r w:rsidRPr="00DA49F0">
        <w:rPr>
          <w:rFonts w:ascii="Arial" w:hAnsi="Arial" w:cs="Arial"/>
          <w:b/>
        </w:rPr>
        <w:t xml:space="preserve">Justificación del </w:t>
      </w:r>
      <w:r w:rsidRPr="00DA49F0">
        <w:rPr>
          <w:rFonts w:ascii="Arial" w:hAnsi="Arial" w:cs="Arial"/>
          <w:b/>
          <w:i/>
        </w:rPr>
        <w:t>PER SALTUM.</w:t>
      </w:r>
      <w:r w:rsidR="008E070D" w:rsidRPr="00DA49F0">
        <w:rPr>
          <w:rFonts w:ascii="Arial" w:hAnsi="Arial" w:cs="Arial"/>
          <w:b/>
        </w:rPr>
        <w:t xml:space="preserve"> </w:t>
      </w:r>
    </w:p>
    <w:p w:rsidR="00951054" w:rsidRPr="00DA49F0" w:rsidRDefault="00951054" w:rsidP="00951054">
      <w:pPr>
        <w:pStyle w:val="NormalWeb"/>
        <w:spacing w:line="360" w:lineRule="auto"/>
        <w:ind w:left="-283" w:right="-283"/>
        <w:contextualSpacing/>
        <w:mirrorIndents/>
        <w:jc w:val="both"/>
        <w:rPr>
          <w:rFonts w:ascii="Arial" w:hAnsi="Arial" w:cs="Arial"/>
          <w:b/>
        </w:rPr>
      </w:pPr>
    </w:p>
    <w:p w:rsidR="00951054" w:rsidRPr="00161BA8" w:rsidRDefault="00951054" w:rsidP="00161BA8">
      <w:pPr>
        <w:pStyle w:val="NormalWeb"/>
        <w:spacing w:line="360" w:lineRule="auto"/>
        <w:ind w:left="-283" w:right="-283"/>
        <w:contextualSpacing/>
        <w:mirrorIndents/>
        <w:jc w:val="both"/>
        <w:rPr>
          <w:rFonts w:ascii="Arial" w:hAnsi="Arial" w:cs="Arial"/>
          <w:color w:val="FF0000"/>
        </w:rPr>
      </w:pPr>
      <w:r w:rsidRPr="00DA49F0">
        <w:rPr>
          <w:rFonts w:ascii="Arial" w:hAnsi="Arial" w:cs="Arial"/>
        </w:rPr>
        <w:t xml:space="preserve">Este </w:t>
      </w:r>
      <w:r w:rsidR="004F0228" w:rsidRPr="00DA49F0">
        <w:rPr>
          <w:rFonts w:ascii="Arial" w:hAnsi="Arial" w:cs="Arial"/>
        </w:rPr>
        <w:t>T</w:t>
      </w:r>
      <w:r w:rsidRPr="00DA49F0">
        <w:rPr>
          <w:rFonts w:ascii="Arial" w:hAnsi="Arial" w:cs="Arial"/>
        </w:rPr>
        <w:t>ribunal determina</w:t>
      </w:r>
      <w:r w:rsidR="00DB4651" w:rsidRPr="00DA49F0">
        <w:rPr>
          <w:rFonts w:ascii="Arial" w:hAnsi="Arial" w:cs="Arial"/>
        </w:rPr>
        <w:t>,</w:t>
      </w:r>
      <w:r w:rsidRPr="00DA49F0">
        <w:rPr>
          <w:rFonts w:ascii="Arial" w:hAnsi="Arial" w:cs="Arial"/>
        </w:rPr>
        <w:t xml:space="preserve"> que es procedente la vía salto de instancia y conocer de la</w:t>
      </w:r>
      <w:r w:rsidR="00DB4651" w:rsidRPr="00DA49F0">
        <w:rPr>
          <w:rFonts w:ascii="Arial" w:hAnsi="Arial" w:cs="Arial"/>
        </w:rPr>
        <w:t>s</w:t>
      </w:r>
      <w:r w:rsidRPr="00DA49F0">
        <w:rPr>
          <w:rFonts w:ascii="Arial" w:hAnsi="Arial" w:cs="Arial"/>
        </w:rPr>
        <w:t xml:space="preserve"> demanda</w:t>
      </w:r>
      <w:r w:rsidR="00DB4651" w:rsidRPr="00DA49F0">
        <w:rPr>
          <w:rFonts w:ascii="Arial" w:hAnsi="Arial" w:cs="Arial"/>
        </w:rPr>
        <w:t>s</w:t>
      </w:r>
      <w:r w:rsidRPr="00DA49F0">
        <w:rPr>
          <w:rFonts w:ascii="Arial" w:hAnsi="Arial" w:cs="Arial"/>
        </w:rPr>
        <w:t xml:space="preserve">, ya que si bien existen medios de impugnación </w:t>
      </w:r>
      <w:proofErr w:type="spellStart"/>
      <w:r w:rsidRPr="00DA49F0">
        <w:rPr>
          <w:rFonts w:ascii="Arial" w:hAnsi="Arial" w:cs="Arial"/>
        </w:rPr>
        <w:t>intrapartidiarios</w:t>
      </w:r>
      <w:proofErr w:type="spellEnd"/>
      <w:r w:rsidRPr="00DA49F0">
        <w:rPr>
          <w:rFonts w:ascii="Arial" w:hAnsi="Arial" w:cs="Arial"/>
        </w:rPr>
        <w:t xml:space="preserve"> </w:t>
      </w:r>
      <w:r w:rsidR="00DB4651" w:rsidRPr="00DA49F0">
        <w:rPr>
          <w:rFonts w:ascii="Arial" w:hAnsi="Arial" w:cs="Arial"/>
        </w:rPr>
        <w:t>para combatir los actos que se reclaman</w:t>
      </w:r>
      <w:r w:rsidR="00973F21" w:rsidRPr="00DA49F0">
        <w:rPr>
          <w:rStyle w:val="Refdenotaalpie"/>
          <w:rFonts w:ascii="Arial" w:hAnsi="Arial" w:cs="Arial"/>
        </w:rPr>
        <w:footnoteReference w:id="4"/>
      </w:r>
      <w:r w:rsidRPr="00DA49F0">
        <w:rPr>
          <w:rFonts w:ascii="Arial" w:hAnsi="Arial" w:cs="Arial"/>
        </w:rPr>
        <w:t xml:space="preserve">, </w:t>
      </w:r>
      <w:r w:rsidR="00D31DA7" w:rsidRPr="00DA49F0">
        <w:rPr>
          <w:rFonts w:ascii="Arial" w:hAnsi="Arial" w:cs="Arial"/>
        </w:rPr>
        <w:t>en el caso particular</w:t>
      </w:r>
      <w:r w:rsidR="00B801A3" w:rsidRPr="00DA49F0">
        <w:rPr>
          <w:rFonts w:ascii="Arial" w:hAnsi="Arial" w:cs="Arial"/>
        </w:rPr>
        <w:t xml:space="preserve">, </w:t>
      </w:r>
      <w:r w:rsidR="00D31DA7" w:rsidRPr="00DA49F0">
        <w:rPr>
          <w:rFonts w:ascii="Arial" w:hAnsi="Arial" w:cs="Arial"/>
        </w:rPr>
        <w:t>agotarlos se traduce en una amenaza seria para los derechos objeto del litigio</w:t>
      </w:r>
      <w:r w:rsidR="00161BA8" w:rsidRPr="00DA49F0">
        <w:rPr>
          <w:rFonts w:ascii="Arial" w:hAnsi="Arial" w:cs="Arial"/>
        </w:rPr>
        <w:t>,</w:t>
      </w:r>
      <w:r w:rsidRPr="00DA49F0">
        <w:rPr>
          <w:rFonts w:ascii="Arial" w:hAnsi="Arial" w:cs="Arial"/>
          <w:b/>
        </w:rPr>
        <w:t xml:space="preserve"> </w:t>
      </w:r>
      <w:r w:rsidRPr="00DA49F0">
        <w:rPr>
          <w:rFonts w:ascii="Arial" w:hAnsi="Arial" w:cs="Arial"/>
          <w:shd w:val="clear" w:color="auto" w:fill="FFFFFF"/>
        </w:rPr>
        <w:t>debido al tiempo que se necesita para sustanciarse,</w:t>
      </w:r>
      <w:r w:rsidR="000A4FDA" w:rsidRPr="00DA49F0">
        <w:rPr>
          <w:rFonts w:ascii="Arial" w:hAnsi="Arial" w:cs="Arial"/>
          <w:shd w:val="clear" w:color="auto" w:fill="FFFFFF"/>
        </w:rPr>
        <w:t xml:space="preserve"> </w:t>
      </w:r>
      <w:r w:rsidR="00B801A3" w:rsidRPr="00DA49F0">
        <w:rPr>
          <w:rFonts w:ascii="Arial" w:hAnsi="Arial" w:cs="Arial"/>
          <w:shd w:val="clear" w:color="auto" w:fill="FFFFFF"/>
        </w:rPr>
        <w:t xml:space="preserve">por lo que </w:t>
      </w:r>
      <w:r w:rsidR="00161BA8" w:rsidRPr="00DA49F0">
        <w:rPr>
          <w:rFonts w:ascii="Arial" w:hAnsi="Arial" w:cs="Arial"/>
          <w:shd w:val="clear" w:color="auto" w:fill="FFFFFF"/>
        </w:rPr>
        <w:t xml:space="preserve">puede producirse </w:t>
      </w:r>
      <w:r w:rsidRPr="00DA49F0">
        <w:rPr>
          <w:rFonts w:ascii="Arial" w:hAnsi="Arial" w:cs="Arial"/>
          <w:shd w:val="clear" w:color="auto" w:fill="FFFFFF"/>
        </w:rPr>
        <w:t>un perjuicio irreparable</w:t>
      </w:r>
      <w:r w:rsidR="00B801A3" w:rsidRPr="00DA49F0">
        <w:rPr>
          <w:rFonts w:ascii="Arial" w:hAnsi="Arial" w:cs="Arial"/>
          <w:shd w:val="clear" w:color="auto" w:fill="FFFFFF"/>
        </w:rPr>
        <w:t>,</w:t>
      </w:r>
      <w:r w:rsidRPr="00DA49F0">
        <w:rPr>
          <w:rFonts w:ascii="Arial" w:hAnsi="Arial" w:cs="Arial"/>
          <w:shd w:val="clear" w:color="auto" w:fill="FFFFFF"/>
        </w:rPr>
        <w:t xml:space="preserve"> </w:t>
      </w:r>
      <w:r w:rsidR="00161BA8" w:rsidRPr="00DA49F0">
        <w:rPr>
          <w:rFonts w:ascii="Arial" w:hAnsi="Arial" w:cs="Arial"/>
          <w:shd w:val="clear" w:color="auto" w:fill="FFFFFF"/>
        </w:rPr>
        <w:t>por lo</w:t>
      </w:r>
      <w:r w:rsidR="00B801A3" w:rsidRPr="00DA49F0">
        <w:rPr>
          <w:rFonts w:ascii="Arial" w:hAnsi="Arial" w:cs="Arial"/>
          <w:shd w:val="clear" w:color="auto" w:fill="FFFFFF"/>
        </w:rPr>
        <w:t xml:space="preserve"> que en el presente caso</w:t>
      </w:r>
      <w:r w:rsidR="00161BA8" w:rsidRPr="00DA49F0">
        <w:rPr>
          <w:rFonts w:ascii="Arial" w:hAnsi="Arial" w:cs="Arial"/>
          <w:shd w:val="clear" w:color="auto" w:fill="FFFFFF"/>
        </w:rPr>
        <w:t xml:space="preserve"> </w:t>
      </w:r>
      <w:r w:rsidR="000A4FDA" w:rsidRPr="00DA49F0">
        <w:rPr>
          <w:rFonts w:ascii="Arial" w:hAnsi="Arial" w:cs="Arial"/>
          <w:color w:val="000000"/>
          <w:shd w:val="clear" w:color="auto" w:fill="FFFFFF"/>
        </w:rPr>
        <w:t>es</w:t>
      </w:r>
      <w:r w:rsidR="00414197" w:rsidRPr="00DA49F0">
        <w:rPr>
          <w:rFonts w:ascii="Arial" w:hAnsi="Arial" w:cs="Arial"/>
          <w:color w:val="000000"/>
          <w:shd w:val="clear" w:color="auto" w:fill="FFFFFF"/>
        </w:rPr>
        <w:t xml:space="preserve"> procedente el salto de vía</w:t>
      </w:r>
      <w:r w:rsidRPr="00DA49F0">
        <w:rPr>
          <w:rFonts w:ascii="Arial" w:hAnsi="Arial" w:cs="Arial"/>
          <w:color w:val="000000"/>
          <w:shd w:val="clear" w:color="auto" w:fill="FFFFFF"/>
        </w:rPr>
        <w:t>.</w:t>
      </w:r>
      <w:r w:rsidR="00B801A3" w:rsidRPr="00DA49F0">
        <w:rPr>
          <w:rStyle w:val="Refdenotaalpie"/>
          <w:rFonts w:ascii="Arial" w:hAnsi="Arial" w:cs="Arial"/>
          <w:color w:val="000000"/>
          <w:shd w:val="clear" w:color="auto" w:fill="FFFFFF"/>
        </w:rPr>
        <w:footnoteReference w:id="5"/>
      </w:r>
      <w:r w:rsidR="00161BA8">
        <w:rPr>
          <w:rFonts w:ascii="Arial" w:hAnsi="Arial" w:cs="Arial"/>
          <w:color w:val="000000"/>
          <w:shd w:val="clear" w:color="auto" w:fill="FFFFFF"/>
        </w:rPr>
        <w:t xml:space="preserve"> </w:t>
      </w:r>
    </w:p>
    <w:p w:rsidR="00951054" w:rsidRDefault="00951054" w:rsidP="00951054">
      <w:pPr>
        <w:pStyle w:val="NormalWeb"/>
        <w:spacing w:line="360" w:lineRule="auto"/>
        <w:ind w:left="-283" w:right="-283"/>
        <w:contextualSpacing/>
        <w:mirrorIndents/>
        <w:jc w:val="both"/>
        <w:rPr>
          <w:rFonts w:ascii="Arial" w:hAnsi="Arial" w:cs="Arial"/>
          <w:color w:val="000000"/>
          <w:shd w:val="clear" w:color="auto" w:fill="FFFFFF"/>
        </w:rPr>
      </w:pPr>
    </w:p>
    <w:p w:rsidR="00951054" w:rsidRDefault="003618D0" w:rsidP="00E856E2">
      <w:pPr>
        <w:pStyle w:val="NormalWeb"/>
        <w:spacing w:line="360" w:lineRule="auto"/>
        <w:ind w:left="-283" w:right="-283"/>
        <w:contextualSpacing/>
        <w:mirrorIndents/>
        <w:jc w:val="both"/>
        <w:rPr>
          <w:rFonts w:ascii="Arial" w:hAnsi="Arial" w:cs="Arial"/>
        </w:rPr>
      </w:pPr>
      <w:r>
        <w:rPr>
          <w:rFonts w:ascii="Arial" w:hAnsi="Arial" w:cs="Arial"/>
        </w:rPr>
        <w:lastRenderedPageBreak/>
        <w:t>Lo anterior, puesto que l</w:t>
      </w:r>
      <w:r w:rsidR="00E856E2" w:rsidRPr="000E5A76">
        <w:rPr>
          <w:rFonts w:ascii="Arial" w:hAnsi="Arial" w:cs="Arial"/>
        </w:rPr>
        <w:t>os promoventes</w:t>
      </w:r>
      <w:r w:rsidR="00951054" w:rsidRPr="000E5A76">
        <w:rPr>
          <w:rFonts w:ascii="Arial" w:hAnsi="Arial" w:cs="Arial"/>
        </w:rPr>
        <w:t xml:space="preserve"> se inconforma</w:t>
      </w:r>
      <w:r w:rsidR="008A3577" w:rsidRPr="000E5A76">
        <w:rPr>
          <w:rFonts w:ascii="Arial" w:hAnsi="Arial" w:cs="Arial"/>
        </w:rPr>
        <w:t>n</w:t>
      </w:r>
      <w:r w:rsidR="00951054" w:rsidRPr="000E5A76">
        <w:rPr>
          <w:rFonts w:ascii="Arial" w:hAnsi="Arial" w:cs="Arial"/>
        </w:rPr>
        <w:t xml:space="preserve"> </w:t>
      </w:r>
      <w:r w:rsidR="00E352F8" w:rsidRPr="000E5A76">
        <w:rPr>
          <w:rFonts w:ascii="Arial" w:hAnsi="Arial" w:cs="Arial"/>
        </w:rPr>
        <w:t xml:space="preserve">por </w:t>
      </w:r>
      <w:r>
        <w:rPr>
          <w:rFonts w:ascii="Arial" w:hAnsi="Arial" w:cs="Arial"/>
        </w:rPr>
        <w:t>una supuesta</w:t>
      </w:r>
      <w:r w:rsidR="00E352F8" w:rsidRPr="000E5A76">
        <w:rPr>
          <w:rFonts w:ascii="Arial" w:hAnsi="Arial" w:cs="Arial"/>
        </w:rPr>
        <w:t xml:space="preserve"> omisión </w:t>
      </w:r>
      <w:r>
        <w:rPr>
          <w:rFonts w:ascii="Arial" w:hAnsi="Arial" w:cs="Arial"/>
        </w:rPr>
        <w:t xml:space="preserve">por parte </w:t>
      </w:r>
      <w:r w:rsidR="00E352F8" w:rsidRPr="000E5A76">
        <w:rPr>
          <w:rFonts w:ascii="Arial" w:hAnsi="Arial" w:cs="Arial"/>
        </w:rPr>
        <w:t>de los dirigentes de MORENA de llevar a cabo el registro de sus candidaturas ante el Instituto Estatal Electoral</w:t>
      </w:r>
      <w:r w:rsidR="000E5A76" w:rsidRPr="000E5A76">
        <w:rPr>
          <w:rFonts w:ascii="Arial" w:hAnsi="Arial" w:cs="Arial"/>
        </w:rPr>
        <w:t xml:space="preserve"> y de dar contestación a su petición de registro</w:t>
      </w:r>
      <w:r w:rsidR="00E352F8" w:rsidRPr="000E5A76">
        <w:rPr>
          <w:rFonts w:ascii="Arial" w:hAnsi="Arial" w:cs="Arial"/>
        </w:rPr>
        <w:t>.</w:t>
      </w:r>
      <w:r w:rsidR="00E352F8">
        <w:rPr>
          <w:rFonts w:ascii="Arial" w:hAnsi="Arial" w:cs="Arial"/>
        </w:rPr>
        <w:t xml:space="preserve"> </w:t>
      </w:r>
    </w:p>
    <w:p w:rsidR="00951054" w:rsidRDefault="00951054" w:rsidP="00951054">
      <w:pPr>
        <w:pStyle w:val="NormalWeb"/>
        <w:spacing w:line="360" w:lineRule="auto"/>
        <w:ind w:left="-283" w:right="-283"/>
        <w:contextualSpacing/>
        <w:mirrorIndents/>
        <w:jc w:val="both"/>
        <w:rPr>
          <w:rFonts w:ascii="Arial" w:hAnsi="Arial" w:cs="Arial"/>
        </w:rPr>
      </w:pPr>
    </w:p>
    <w:p w:rsidR="00951054" w:rsidRDefault="003618D0" w:rsidP="00951054">
      <w:pPr>
        <w:pStyle w:val="NormalWeb"/>
        <w:spacing w:line="360" w:lineRule="auto"/>
        <w:ind w:left="-283" w:right="-283"/>
        <w:contextualSpacing/>
        <w:mirrorIndents/>
        <w:jc w:val="both"/>
        <w:rPr>
          <w:rFonts w:ascii="Arial" w:hAnsi="Arial" w:cs="Arial"/>
        </w:rPr>
      </w:pPr>
      <w:r>
        <w:rPr>
          <w:rFonts w:ascii="Arial" w:hAnsi="Arial" w:cs="Arial"/>
        </w:rPr>
        <w:t xml:space="preserve">Por ello, aun y advirtiendo la </w:t>
      </w:r>
      <w:r w:rsidR="00DB4651">
        <w:rPr>
          <w:rFonts w:ascii="Arial" w:hAnsi="Arial" w:cs="Arial"/>
        </w:rPr>
        <w:t>naturaleza de</w:t>
      </w:r>
      <w:r w:rsidR="00665EB8">
        <w:rPr>
          <w:rFonts w:ascii="Arial" w:hAnsi="Arial" w:cs="Arial"/>
        </w:rPr>
        <w:t xml:space="preserve"> </w:t>
      </w:r>
      <w:r w:rsidR="00DB4651">
        <w:rPr>
          <w:rFonts w:ascii="Arial" w:hAnsi="Arial" w:cs="Arial"/>
        </w:rPr>
        <w:t>l</w:t>
      </w:r>
      <w:r w:rsidR="00665EB8">
        <w:rPr>
          <w:rFonts w:ascii="Arial" w:hAnsi="Arial" w:cs="Arial"/>
        </w:rPr>
        <w:t>os</w:t>
      </w:r>
      <w:r w:rsidR="00DB4651">
        <w:rPr>
          <w:rFonts w:ascii="Arial" w:hAnsi="Arial" w:cs="Arial"/>
        </w:rPr>
        <w:t xml:space="preserve"> acto</w:t>
      </w:r>
      <w:r w:rsidR="00665EB8">
        <w:rPr>
          <w:rFonts w:ascii="Arial" w:hAnsi="Arial" w:cs="Arial"/>
        </w:rPr>
        <w:t>s</w:t>
      </w:r>
      <w:r w:rsidR="00DB4651">
        <w:rPr>
          <w:rFonts w:ascii="Arial" w:hAnsi="Arial" w:cs="Arial"/>
        </w:rPr>
        <w:t xml:space="preserve"> impugnados</w:t>
      </w:r>
      <w:r>
        <w:rPr>
          <w:rFonts w:ascii="Arial" w:hAnsi="Arial" w:cs="Arial"/>
        </w:rPr>
        <w:t xml:space="preserve"> y que </w:t>
      </w:r>
      <w:r w:rsidR="00951054">
        <w:rPr>
          <w:rFonts w:ascii="Arial" w:hAnsi="Arial" w:cs="Arial"/>
        </w:rPr>
        <w:t>los promoventes deb</w:t>
      </w:r>
      <w:r>
        <w:rPr>
          <w:rFonts w:ascii="Arial" w:hAnsi="Arial" w:cs="Arial"/>
        </w:rPr>
        <w:t>iesen</w:t>
      </w:r>
      <w:r w:rsidR="00951054">
        <w:rPr>
          <w:rFonts w:ascii="Arial" w:hAnsi="Arial" w:cs="Arial"/>
        </w:rPr>
        <w:t xml:space="preserve"> </w:t>
      </w:r>
      <w:r w:rsidR="00DB4651">
        <w:rPr>
          <w:rFonts w:ascii="Arial" w:hAnsi="Arial" w:cs="Arial"/>
        </w:rPr>
        <w:t>cumplir</w:t>
      </w:r>
      <w:r w:rsidR="00DB4651" w:rsidRPr="00995B77">
        <w:rPr>
          <w:rFonts w:ascii="Arial" w:hAnsi="Arial" w:cs="Arial"/>
        </w:rPr>
        <w:t xml:space="preserve"> </w:t>
      </w:r>
      <w:r w:rsidR="00DB4651">
        <w:rPr>
          <w:rFonts w:ascii="Arial" w:hAnsi="Arial" w:cs="Arial"/>
        </w:rPr>
        <w:t>con el principio de definitividad, en el caso</w:t>
      </w:r>
      <w:r w:rsidR="00973F21">
        <w:rPr>
          <w:rFonts w:ascii="Arial" w:hAnsi="Arial" w:cs="Arial"/>
        </w:rPr>
        <w:t xml:space="preserve"> particular</w:t>
      </w:r>
      <w:r w:rsidR="00DB4651">
        <w:rPr>
          <w:rFonts w:ascii="Arial" w:hAnsi="Arial" w:cs="Arial"/>
        </w:rPr>
        <w:t>, tomando en consideración los tiempos establecidos para la resolución del medio de defensa intra</w:t>
      </w:r>
      <w:r w:rsidR="00986550">
        <w:rPr>
          <w:rFonts w:ascii="Arial" w:hAnsi="Arial" w:cs="Arial"/>
        </w:rPr>
        <w:t xml:space="preserve"> </w:t>
      </w:r>
      <w:r w:rsidR="00DB4651">
        <w:rPr>
          <w:rFonts w:ascii="Arial" w:hAnsi="Arial" w:cs="Arial"/>
        </w:rPr>
        <w:t>partid</w:t>
      </w:r>
      <w:r w:rsidR="00986550">
        <w:rPr>
          <w:rFonts w:ascii="Arial" w:hAnsi="Arial" w:cs="Arial"/>
        </w:rPr>
        <w:t>ario</w:t>
      </w:r>
      <w:r w:rsidR="00DB4651">
        <w:rPr>
          <w:rFonts w:ascii="Arial" w:hAnsi="Arial" w:cs="Arial"/>
        </w:rPr>
        <w:t>, el periodo para el registro de candidatos</w:t>
      </w:r>
      <w:r w:rsidR="00DB4651">
        <w:rPr>
          <w:rStyle w:val="Refdenotaalpie"/>
          <w:rFonts w:ascii="Arial" w:hAnsi="Arial" w:cs="Arial"/>
        </w:rPr>
        <w:footnoteReference w:id="6"/>
      </w:r>
      <w:r w:rsidR="00DB4651">
        <w:rPr>
          <w:rFonts w:ascii="Arial" w:hAnsi="Arial" w:cs="Arial"/>
        </w:rPr>
        <w:t xml:space="preserve"> y el </w:t>
      </w:r>
      <w:r w:rsidR="00951054">
        <w:rPr>
          <w:rFonts w:ascii="Arial" w:hAnsi="Arial" w:cs="Arial"/>
        </w:rPr>
        <w:t>inicio de campañas locales en el Estado de Aguascalientes</w:t>
      </w:r>
      <w:r w:rsidR="00DB4651">
        <w:rPr>
          <w:rStyle w:val="Refdenotaalpie"/>
          <w:rFonts w:ascii="Arial" w:hAnsi="Arial" w:cs="Arial"/>
        </w:rPr>
        <w:footnoteReference w:id="7"/>
      </w:r>
      <w:r w:rsidR="00951054">
        <w:rPr>
          <w:rFonts w:ascii="Arial" w:hAnsi="Arial" w:cs="Arial"/>
        </w:rPr>
        <w:t>, no result</w:t>
      </w:r>
      <w:r w:rsidR="005B44B9">
        <w:rPr>
          <w:rFonts w:ascii="Arial" w:hAnsi="Arial" w:cs="Arial"/>
        </w:rPr>
        <w:t>a</w:t>
      </w:r>
      <w:r w:rsidR="00951054">
        <w:rPr>
          <w:rFonts w:ascii="Arial" w:hAnsi="Arial" w:cs="Arial"/>
        </w:rPr>
        <w:t xml:space="preserve"> viable imponer la obligación a los actores, de acudir ante la instancia partidista a agotar los mecanismos de defensa, </w:t>
      </w:r>
      <w:r w:rsidR="005B44B9">
        <w:rPr>
          <w:rFonts w:ascii="Arial" w:hAnsi="Arial" w:cs="Arial"/>
        </w:rPr>
        <w:t xml:space="preserve">pues esto implicaría que se ponga en </w:t>
      </w:r>
      <w:r w:rsidR="00951054">
        <w:rPr>
          <w:rFonts w:ascii="Arial" w:hAnsi="Arial" w:cs="Arial"/>
        </w:rPr>
        <w:t xml:space="preserve">riesgo la </w:t>
      </w:r>
      <w:r w:rsidR="00986550">
        <w:rPr>
          <w:rFonts w:ascii="Arial" w:hAnsi="Arial" w:cs="Arial"/>
        </w:rPr>
        <w:t xml:space="preserve">expedita y </w:t>
      </w:r>
      <w:r w:rsidR="00951054">
        <w:rPr>
          <w:rFonts w:ascii="Arial" w:hAnsi="Arial" w:cs="Arial"/>
        </w:rPr>
        <w:t>efectiva impartición de justicia, así como la debida satisfacción de sus pretensiones.</w:t>
      </w:r>
    </w:p>
    <w:p w:rsidR="00951054" w:rsidRDefault="00951054" w:rsidP="00951054">
      <w:pPr>
        <w:pStyle w:val="NormalWeb"/>
        <w:spacing w:line="360" w:lineRule="auto"/>
        <w:ind w:left="-283" w:right="-283"/>
        <w:contextualSpacing/>
        <w:mirrorIndents/>
        <w:jc w:val="both"/>
        <w:rPr>
          <w:rFonts w:ascii="Arial" w:hAnsi="Arial" w:cs="Arial"/>
        </w:rPr>
      </w:pPr>
    </w:p>
    <w:p w:rsidR="00951054" w:rsidRDefault="00951054" w:rsidP="00951054">
      <w:pPr>
        <w:pStyle w:val="NormalWeb"/>
        <w:spacing w:line="360" w:lineRule="auto"/>
        <w:ind w:left="-283" w:right="-283"/>
        <w:contextualSpacing/>
        <w:mirrorIndents/>
        <w:jc w:val="both"/>
        <w:rPr>
          <w:rFonts w:ascii="Arial" w:hAnsi="Arial" w:cs="Arial"/>
        </w:rPr>
      </w:pPr>
      <w:r>
        <w:rPr>
          <w:rFonts w:ascii="Arial" w:hAnsi="Arial" w:cs="Arial"/>
        </w:rPr>
        <w:t xml:space="preserve">En tales consideraciones, se determina procedente la vía </w:t>
      </w:r>
      <w:r w:rsidRPr="00951054">
        <w:rPr>
          <w:rFonts w:ascii="Arial" w:hAnsi="Arial" w:cs="Arial"/>
          <w:i/>
        </w:rPr>
        <w:t xml:space="preserve">per </w:t>
      </w:r>
      <w:proofErr w:type="spellStart"/>
      <w:r w:rsidRPr="00951054">
        <w:rPr>
          <w:rFonts w:ascii="Arial" w:hAnsi="Arial" w:cs="Arial"/>
          <w:i/>
        </w:rPr>
        <w:t>saltum</w:t>
      </w:r>
      <w:proofErr w:type="spellEnd"/>
      <w:r>
        <w:rPr>
          <w:rFonts w:ascii="Arial" w:hAnsi="Arial" w:cs="Arial"/>
          <w:i/>
        </w:rPr>
        <w:t xml:space="preserve">, </w:t>
      </w:r>
      <w:r w:rsidRPr="00951054">
        <w:rPr>
          <w:rFonts w:ascii="Arial" w:hAnsi="Arial" w:cs="Arial"/>
        </w:rPr>
        <w:t>con la finalidad de salvaguardar la legalidad y certeza en el procedimiento de los promoventes, y evitar así, poner en riesgo la justicia efectiva.</w:t>
      </w:r>
    </w:p>
    <w:p w:rsidR="00951054" w:rsidRDefault="00951054" w:rsidP="00951054">
      <w:pPr>
        <w:pStyle w:val="NormalWeb"/>
        <w:spacing w:line="360" w:lineRule="auto"/>
        <w:ind w:left="-283" w:right="-283"/>
        <w:contextualSpacing/>
        <w:mirrorIndents/>
        <w:jc w:val="both"/>
        <w:rPr>
          <w:rFonts w:ascii="Arial" w:hAnsi="Arial" w:cs="Arial"/>
          <w:b/>
        </w:rPr>
      </w:pPr>
    </w:p>
    <w:p w:rsidR="005F21DD" w:rsidRPr="0046365B" w:rsidRDefault="00914D88" w:rsidP="005F21DD">
      <w:pPr>
        <w:pStyle w:val="NormalWeb"/>
        <w:spacing w:line="360" w:lineRule="auto"/>
        <w:ind w:left="-283" w:right="-283"/>
        <w:contextualSpacing/>
        <w:mirrorIndents/>
        <w:jc w:val="both"/>
        <w:rPr>
          <w:rFonts w:ascii="Arial" w:hAnsi="Arial" w:cs="Arial"/>
          <w:color w:val="000000"/>
        </w:rPr>
      </w:pPr>
      <w:r>
        <w:rPr>
          <w:rFonts w:ascii="Arial" w:hAnsi="Arial" w:cs="Arial"/>
          <w:b/>
        </w:rPr>
        <w:t>TERCERO.</w:t>
      </w:r>
      <w:r w:rsidR="00E352F8" w:rsidRPr="005F21DD">
        <w:rPr>
          <w:rFonts w:ascii="Arial" w:hAnsi="Arial" w:cs="Arial"/>
          <w:b/>
        </w:rPr>
        <w:t xml:space="preserve"> </w:t>
      </w:r>
      <w:r w:rsidR="00EC6BA8">
        <w:rPr>
          <w:rFonts w:ascii="Arial" w:hAnsi="Arial" w:cs="Arial"/>
          <w:b/>
        </w:rPr>
        <w:t>ESTUDIO DE FONDO</w:t>
      </w:r>
      <w:r w:rsidR="008E070D" w:rsidRPr="005F21DD">
        <w:rPr>
          <w:rFonts w:ascii="Arial" w:hAnsi="Arial" w:cs="Arial"/>
          <w:b/>
        </w:rPr>
        <w:t xml:space="preserve">. </w:t>
      </w:r>
    </w:p>
    <w:p w:rsidR="005F21DD" w:rsidRDefault="005F21DD" w:rsidP="00E352F8">
      <w:pPr>
        <w:pStyle w:val="NormalWeb"/>
        <w:spacing w:line="360" w:lineRule="auto"/>
        <w:ind w:left="-283" w:right="-283"/>
        <w:contextualSpacing/>
        <w:mirrorIndents/>
        <w:jc w:val="both"/>
        <w:rPr>
          <w:rFonts w:ascii="Arial" w:eastAsia="Century Gothic" w:hAnsi="Arial" w:cs="Arial"/>
        </w:rPr>
      </w:pPr>
    </w:p>
    <w:p w:rsidR="00DA49F0" w:rsidRDefault="00DA49F0" w:rsidP="00E352F8">
      <w:pPr>
        <w:pStyle w:val="NormalWeb"/>
        <w:spacing w:line="360" w:lineRule="auto"/>
        <w:ind w:left="-283" w:right="-283"/>
        <w:contextualSpacing/>
        <w:mirrorIndents/>
        <w:jc w:val="both"/>
        <w:rPr>
          <w:rFonts w:ascii="Arial" w:eastAsia="Century Gothic" w:hAnsi="Arial" w:cs="Arial"/>
          <w:b/>
        </w:rPr>
      </w:pPr>
      <w:r>
        <w:rPr>
          <w:rFonts w:ascii="Arial" w:eastAsia="Century Gothic" w:hAnsi="Arial" w:cs="Arial"/>
          <w:b/>
        </w:rPr>
        <w:t>Fijación de la litis</w:t>
      </w:r>
      <w:r w:rsidR="00D407A0">
        <w:rPr>
          <w:rFonts w:ascii="Arial" w:eastAsia="Century Gothic" w:hAnsi="Arial" w:cs="Arial"/>
          <w:b/>
        </w:rPr>
        <w:t>.</w:t>
      </w:r>
    </w:p>
    <w:p w:rsidR="00DA49F0" w:rsidRDefault="00DA49F0" w:rsidP="00E352F8">
      <w:pPr>
        <w:pStyle w:val="NormalWeb"/>
        <w:spacing w:line="360" w:lineRule="auto"/>
        <w:ind w:left="-283" w:right="-283"/>
        <w:contextualSpacing/>
        <w:mirrorIndents/>
        <w:jc w:val="both"/>
        <w:rPr>
          <w:rFonts w:ascii="Arial" w:eastAsia="Century Gothic" w:hAnsi="Arial" w:cs="Arial"/>
        </w:rPr>
      </w:pPr>
    </w:p>
    <w:p w:rsidR="008A029D" w:rsidRDefault="003618D0"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rPr>
        <w:t>En los escritos de demanda l</w:t>
      </w:r>
      <w:r w:rsidR="00DA49F0">
        <w:rPr>
          <w:rFonts w:ascii="Arial" w:eastAsia="Century Gothic" w:hAnsi="Arial" w:cs="Arial"/>
        </w:rPr>
        <w:t xml:space="preserve">os actores se duelen de una vulneración a su derecho político-electoral de ser votados, </w:t>
      </w:r>
      <w:r>
        <w:rPr>
          <w:rFonts w:ascii="Arial" w:eastAsia="Century Gothic" w:hAnsi="Arial" w:cs="Arial"/>
        </w:rPr>
        <w:t xml:space="preserve">ya que a su parecer, </w:t>
      </w:r>
      <w:r w:rsidR="001E132D">
        <w:rPr>
          <w:rFonts w:ascii="Arial" w:eastAsia="Century Gothic" w:hAnsi="Arial" w:cs="Arial"/>
        </w:rPr>
        <w:t xml:space="preserve">las </w:t>
      </w:r>
      <w:r w:rsidR="00FF46FE" w:rsidRPr="00024F6E">
        <w:rPr>
          <w:rFonts w:ascii="Arial" w:eastAsia="Century Gothic" w:hAnsi="Arial" w:cs="Arial"/>
        </w:rPr>
        <w:t xml:space="preserve">autoridades responsables han </w:t>
      </w:r>
      <w:r w:rsidR="00024F6E" w:rsidRPr="00024F6E">
        <w:rPr>
          <w:rFonts w:ascii="Arial" w:eastAsia="Century Gothic" w:hAnsi="Arial" w:cs="Arial"/>
        </w:rPr>
        <w:t xml:space="preserve">sido omisas en </w:t>
      </w:r>
      <w:r w:rsidR="00943003" w:rsidRPr="00024F6E">
        <w:rPr>
          <w:rFonts w:ascii="Arial" w:eastAsia="Century Gothic" w:hAnsi="Arial" w:cs="Arial"/>
        </w:rPr>
        <w:t>atend</w:t>
      </w:r>
      <w:r w:rsidR="00024F6E" w:rsidRPr="00024F6E">
        <w:rPr>
          <w:rFonts w:ascii="Arial" w:eastAsia="Century Gothic" w:hAnsi="Arial" w:cs="Arial"/>
        </w:rPr>
        <w:t>er</w:t>
      </w:r>
      <w:r w:rsidR="00943003" w:rsidRPr="00024F6E">
        <w:rPr>
          <w:rFonts w:ascii="Arial" w:eastAsia="Century Gothic" w:hAnsi="Arial" w:cs="Arial"/>
        </w:rPr>
        <w:t xml:space="preserve"> a la petición que por escrito </w:t>
      </w:r>
      <w:r w:rsidR="00024F6E" w:rsidRPr="00024F6E">
        <w:rPr>
          <w:rFonts w:ascii="Arial" w:eastAsia="Century Gothic" w:hAnsi="Arial" w:cs="Arial"/>
        </w:rPr>
        <w:t>presentaron el diez de abril</w:t>
      </w:r>
      <w:r w:rsidR="00943003" w:rsidRPr="00024F6E">
        <w:rPr>
          <w:rFonts w:ascii="Arial" w:eastAsia="Century Gothic" w:hAnsi="Arial" w:cs="Arial"/>
        </w:rPr>
        <w:t xml:space="preserve">, en </w:t>
      </w:r>
      <w:r w:rsidR="00024F6E" w:rsidRPr="00024F6E">
        <w:rPr>
          <w:rFonts w:ascii="Arial" w:eastAsia="Century Gothic" w:hAnsi="Arial" w:cs="Arial"/>
        </w:rPr>
        <w:t xml:space="preserve">donde les solicitaron llevaran a cabo el registro de sus candidaturas a los diversos cargos de elección popular de los ayuntamientos del Estado de Aguascalientes y que les hicieran saber los requisitos o formularios que necesitan </w:t>
      </w:r>
      <w:r w:rsidR="00D93591">
        <w:rPr>
          <w:rFonts w:ascii="Arial" w:eastAsia="Century Gothic" w:hAnsi="Arial" w:cs="Arial"/>
        </w:rPr>
        <w:t>cumplir</w:t>
      </w:r>
      <w:r w:rsidR="00024F6E" w:rsidRPr="00024F6E">
        <w:rPr>
          <w:rFonts w:ascii="Arial" w:eastAsia="Century Gothic" w:hAnsi="Arial" w:cs="Arial"/>
        </w:rPr>
        <w:t xml:space="preserve"> para llevarlo a cabo</w:t>
      </w:r>
      <w:r w:rsidR="001E132D">
        <w:rPr>
          <w:rFonts w:ascii="Arial" w:eastAsia="Century Gothic" w:hAnsi="Arial" w:cs="Arial"/>
        </w:rPr>
        <w:t>, ante la proximidad de la fecha de vencimiento del plazo para registrar candidaturas ante el Instituto Estatal Electoral del Estado</w:t>
      </w:r>
      <w:r w:rsidR="00D407A0">
        <w:rPr>
          <w:rFonts w:ascii="Arial" w:eastAsia="Century Gothic" w:hAnsi="Arial" w:cs="Arial"/>
        </w:rPr>
        <w:t xml:space="preserve"> (once de abril)</w:t>
      </w:r>
      <w:r w:rsidR="00024F6E" w:rsidRPr="00024F6E">
        <w:rPr>
          <w:rFonts w:ascii="Arial" w:eastAsia="Century Gothic" w:hAnsi="Arial" w:cs="Arial"/>
        </w:rPr>
        <w:t>.</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8A029D" w:rsidRDefault="00D93591"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rPr>
        <w:lastRenderedPageBreak/>
        <w:t xml:space="preserve">Del análisis integral de la demanda, </w:t>
      </w:r>
      <w:r w:rsidR="005573C1">
        <w:rPr>
          <w:rFonts w:ascii="Arial" w:eastAsia="Century Gothic" w:hAnsi="Arial" w:cs="Arial"/>
        </w:rPr>
        <w:t xml:space="preserve">se advierte que </w:t>
      </w:r>
      <w:r>
        <w:rPr>
          <w:rFonts w:ascii="Arial" w:eastAsia="Century Gothic" w:hAnsi="Arial" w:cs="Arial"/>
        </w:rPr>
        <w:t xml:space="preserve">gravitan </w:t>
      </w:r>
      <w:r w:rsidR="005573C1">
        <w:rPr>
          <w:rFonts w:ascii="Arial" w:eastAsia="Century Gothic" w:hAnsi="Arial" w:cs="Arial"/>
        </w:rPr>
        <w:t>los</w:t>
      </w:r>
      <w:r>
        <w:rPr>
          <w:rFonts w:ascii="Arial" w:eastAsia="Century Gothic" w:hAnsi="Arial" w:cs="Arial"/>
        </w:rPr>
        <w:t xml:space="preserve"> </w:t>
      </w:r>
      <w:r w:rsidR="005573C1">
        <w:rPr>
          <w:rFonts w:ascii="Arial" w:eastAsia="Century Gothic" w:hAnsi="Arial" w:cs="Arial"/>
        </w:rPr>
        <w:t xml:space="preserve">siguientes </w:t>
      </w:r>
      <w:r>
        <w:rPr>
          <w:rFonts w:ascii="Arial" w:eastAsia="Century Gothic" w:hAnsi="Arial" w:cs="Arial"/>
        </w:rPr>
        <w:t>agravios</w:t>
      </w:r>
      <w:r w:rsidR="007F0C3B">
        <w:rPr>
          <w:rFonts w:ascii="Arial" w:eastAsia="Century Gothic" w:hAnsi="Arial" w:cs="Arial"/>
        </w:rPr>
        <w:t>:</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8A029D" w:rsidRDefault="00D93591"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b/>
        </w:rPr>
        <w:t xml:space="preserve">A) </w:t>
      </w:r>
      <w:r w:rsidR="00151AE0">
        <w:rPr>
          <w:rFonts w:ascii="Arial" w:eastAsia="Century Gothic" w:hAnsi="Arial" w:cs="Arial"/>
        </w:rPr>
        <w:t xml:space="preserve">Que </w:t>
      </w:r>
      <w:r w:rsidR="00401FB2">
        <w:rPr>
          <w:rFonts w:ascii="Arial" w:eastAsia="Century Gothic" w:hAnsi="Arial" w:cs="Arial"/>
        </w:rPr>
        <w:t>si bien</w:t>
      </w:r>
      <w:r w:rsidR="00151AE0">
        <w:rPr>
          <w:rFonts w:ascii="Arial" w:eastAsia="Century Gothic" w:hAnsi="Arial" w:cs="Arial"/>
        </w:rPr>
        <w:t xml:space="preserve"> </w:t>
      </w:r>
      <w:r w:rsidR="00401FB2">
        <w:rPr>
          <w:rFonts w:ascii="Arial" w:eastAsia="Century Gothic" w:hAnsi="Arial" w:cs="Arial"/>
        </w:rPr>
        <w:t xml:space="preserve">en el dictamen de cinco de abril, </w:t>
      </w:r>
      <w:r w:rsidR="00151AE0">
        <w:rPr>
          <w:rFonts w:ascii="Arial" w:eastAsia="Century Gothic" w:hAnsi="Arial" w:cs="Arial"/>
        </w:rPr>
        <w:t xml:space="preserve">fueron designados </w:t>
      </w:r>
      <w:r w:rsidR="00401FB2">
        <w:rPr>
          <w:rFonts w:ascii="Arial" w:eastAsia="Century Gothic" w:hAnsi="Arial" w:cs="Arial"/>
        </w:rPr>
        <w:t xml:space="preserve">por la Comisión Nacional de Elecciones, </w:t>
      </w:r>
      <w:r w:rsidR="00151AE0">
        <w:rPr>
          <w:rFonts w:ascii="Arial" w:eastAsia="Century Gothic" w:hAnsi="Arial" w:cs="Arial"/>
        </w:rPr>
        <w:t>como candidatos</w:t>
      </w:r>
      <w:r w:rsidR="00401FB2">
        <w:rPr>
          <w:rFonts w:ascii="Arial" w:eastAsia="Century Gothic" w:hAnsi="Arial" w:cs="Arial"/>
        </w:rPr>
        <w:t xml:space="preserve"> a diversos cargos de elección popular</w:t>
      </w:r>
      <w:r w:rsidR="00151AE0">
        <w:rPr>
          <w:rFonts w:ascii="Arial" w:eastAsia="Century Gothic" w:hAnsi="Arial" w:cs="Arial"/>
        </w:rPr>
        <w:t xml:space="preserve">, </w:t>
      </w:r>
      <w:r w:rsidR="005573C1">
        <w:rPr>
          <w:rFonts w:ascii="Arial" w:eastAsia="Century Gothic" w:hAnsi="Arial" w:cs="Arial"/>
        </w:rPr>
        <w:t xml:space="preserve">las autoridades responsables </w:t>
      </w:r>
      <w:r w:rsidR="002139C2">
        <w:rPr>
          <w:rFonts w:ascii="Arial" w:eastAsia="Century Gothic" w:hAnsi="Arial" w:cs="Arial"/>
        </w:rPr>
        <w:t xml:space="preserve">vulneran </w:t>
      </w:r>
      <w:r w:rsidR="005E5105">
        <w:rPr>
          <w:rFonts w:ascii="Arial" w:eastAsia="Century Gothic" w:hAnsi="Arial" w:cs="Arial"/>
        </w:rPr>
        <w:t>su derecho político-electoral de ser votados</w:t>
      </w:r>
      <w:r w:rsidR="00583372">
        <w:rPr>
          <w:rFonts w:ascii="Arial" w:eastAsia="Century Gothic" w:hAnsi="Arial" w:cs="Arial"/>
        </w:rPr>
        <w:t xml:space="preserve"> al no llevar a cabo su registro, no obstante que el diez de abril presentaron un escrito solicitando que se realizara</w:t>
      </w:r>
      <w:r w:rsidR="00A24587">
        <w:rPr>
          <w:rFonts w:ascii="Arial" w:eastAsia="Century Gothic" w:hAnsi="Arial" w:cs="Arial"/>
        </w:rPr>
        <w:t>,</w:t>
      </w:r>
      <w:r w:rsidR="00583372">
        <w:rPr>
          <w:rFonts w:ascii="Arial" w:eastAsia="Century Gothic" w:hAnsi="Arial" w:cs="Arial"/>
        </w:rPr>
        <w:t xml:space="preserve"> ya que faltaba s</w:t>
      </w:r>
      <w:r w:rsidR="00D407A0">
        <w:rPr>
          <w:rFonts w:ascii="Arial" w:eastAsia="Century Gothic" w:hAnsi="Arial" w:cs="Arial"/>
        </w:rPr>
        <w:t>o</w:t>
      </w:r>
      <w:r w:rsidR="00583372">
        <w:rPr>
          <w:rFonts w:ascii="Arial" w:eastAsia="Century Gothic" w:hAnsi="Arial" w:cs="Arial"/>
        </w:rPr>
        <w:t xml:space="preserve">lo un día para el </w:t>
      </w:r>
      <w:r w:rsidR="005E5105">
        <w:rPr>
          <w:rFonts w:ascii="Arial" w:eastAsia="Century Gothic" w:hAnsi="Arial" w:cs="Arial"/>
        </w:rPr>
        <w:t>venc</w:t>
      </w:r>
      <w:r w:rsidR="00583372">
        <w:rPr>
          <w:rFonts w:ascii="Arial" w:eastAsia="Century Gothic" w:hAnsi="Arial" w:cs="Arial"/>
        </w:rPr>
        <w:t>imiento</w:t>
      </w:r>
      <w:r w:rsidR="005E5105">
        <w:rPr>
          <w:rFonts w:ascii="Arial" w:eastAsia="Century Gothic" w:hAnsi="Arial" w:cs="Arial"/>
        </w:rPr>
        <w:t xml:space="preserve"> </w:t>
      </w:r>
      <w:r w:rsidR="00583372">
        <w:rPr>
          <w:rFonts w:ascii="Arial" w:eastAsia="Century Gothic" w:hAnsi="Arial" w:cs="Arial"/>
        </w:rPr>
        <w:t>d</w:t>
      </w:r>
      <w:r w:rsidR="005E5105">
        <w:rPr>
          <w:rFonts w:ascii="Arial" w:eastAsia="Century Gothic" w:hAnsi="Arial" w:cs="Arial"/>
        </w:rPr>
        <w:t xml:space="preserve">el plazo para </w:t>
      </w:r>
      <w:r w:rsidR="00A24587">
        <w:rPr>
          <w:rFonts w:ascii="Arial" w:eastAsia="Century Gothic" w:hAnsi="Arial" w:cs="Arial"/>
        </w:rPr>
        <w:t>tal efecto.</w:t>
      </w:r>
    </w:p>
    <w:p w:rsidR="008A029D" w:rsidRDefault="008A029D" w:rsidP="008A029D">
      <w:pPr>
        <w:pStyle w:val="NormalWeb"/>
        <w:spacing w:line="360" w:lineRule="auto"/>
        <w:ind w:left="-283" w:right="-283"/>
        <w:contextualSpacing/>
        <w:mirrorIndents/>
        <w:jc w:val="both"/>
        <w:rPr>
          <w:rFonts w:ascii="Arial" w:eastAsia="Century Gothic" w:hAnsi="Arial" w:cs="Arial"/>
          <w:b/>
        </w:rPr>
      </w:pPr>
    </w:p>
    <w:p w:rsidR="008A029D" w:rsidRDefault="005573C1"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b/>
        </w:rPr>
        <w:t xml:space="preserve">B) </w:t>
      </w:r>
      <w:r>
        <w:rPr>
          <w:rFonts w:ascii="Arial" w:eastAsia="Century Gothic" w:hAnsi="Arial" w:cs="Arial"/>
        </w:rPr>
        <w:t xml:space="preserve">Ante la negativa ficta configurada por la omisión de atender y dar contestación a su petición presentada el diez de abril, aunada a las declaraciones </w:t>
      </w:r>
      <w:r w:rsidR="002139C2">
        <w:rPr>
          <w:rFonts w:ascii="Arial" w:eastAsia="Century Gothic" w:hAnsi="Arial" w:cs="Arial"/>
        </w:rPr>
        <w:t>realizadas</w:t>
      </w:r>
      <w:r>
        <w:rPr>
          <w:rFonts w:ascii="Arial" w:eastAsia="Century Gothic" w:hAnsi="Arial" w:cs="Arial"/>
        </w:rPr>
        <w:t xml:space="preserve"> por los representantes partidistas en diversos medios de comunicación, se pone en riesgo el ejercicio efectivo de su derecho a ser votados</w:t>
      </w:r>
      <w:r w:rsidR="002139C2">
        <w:rPr>
          <w:rFonts w:ascii="Arial" w:eastAsia="Century Gothic" w:hAnsi="Arial" w:cs="Arial"/>
        </w:rPr>
        <w:t>.</w:t>
      </w:r>
    </w:p>
    <w:p w:rsidR="008A029D" w:rsidRDefault="008A029D" w:rsidP="008A029D">
      <w:pPr>
        <w:pStyle w:val="NormalWeb"/>
        <w:spacing w:line="360" w:lineRule="auto"/>
        <w:ind w:left="-283" w:right="-283"/>
        <w:contextualSpacing/>
        <w:mirrorIndents/>
        <w:jc w:val="both"/>
        <w:rPr>
          <w:rFonts w:ascii="Arial" w:eastAsia="Century Gothic" w:hAnsi="Arial" w:cs="Arial"/>
          <w:b/>
        </w:rPr>
      </w:pPr>
    </w:p>
    <w:p w:rsidR="008A029D" w:rsidRDefault="005573C1"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b/>
        </w:rPr>
        <w:t xml:space="preserve">C) </w:t>
      </w:r>
      <w:r>
        <w:rPr>
          <w:rFonts w:ascii="Arial" w:eastAsia="Century Gothic" w:hAnsi="Arial" w:cs="Arial"/>
        </w:rPr>
        <w:t>L</w:t>
      </w:r>
      <w:r w:rsidR="00D93591">
        <w:rPr>
          <w:rFonts w:ascii="Arial" w:eastAsia="Century Gothic" w:hAnsi="Arial" w:cs="Arial"/>
        </w:rPr>
        <w:t xml:space="preserve">as responsables están incumpliendo con el mandato de la Comisión Nacional de Elecciones, </w:t>
      </w:r>
      <w:proofErr w:type="gramStart"/>
      <w:r w:rsidR="00D93591">
        <w:rPr>
          <w:rFonts w:ascii="Arial" w:eastAsia="Century Gothic" w:hAnsi="Arial" w:cs="Arial"/>
        </w:rPr>
        <w:t>ya que</w:t>
      </w:r>
      <w:proofErr w:type="gramEnd"/>
      <w:r w:rsidR="00D93591">
        <w:rPr>
          <w:rFonts w:ascii="Arial" w:eastAsia="Century Gothic" w:hAnsi="Arial" w:cs="Arial"/>
        </w:rPr>
        <w:t xml:space="preserve"> en el dictamen de cinco de abril, se</w:t>
      </w:r>
      <w:r>
        <w:rPr>
          <w:rFonts w:ascii="Arial" w:eastAsia="Century Gothic" w:hAnsi="Arial" w:cs="Arial"/>
        </w:rPr>
        <w:t xml:space="preserve"> les</w:t>
      </w:r>
      <w:r w:rsidR="00D93591">
        <w:rPr>
          <w:rFonts w:ascii="Arial" w:eastAsia="Century Gothic" w:hAnsi="Arial" w:cs="Arial"/>
        </w:rPr>
        <w:t xml:space="preserve"> ordenó efectuar el registro de los candidatos en él precisados. </w:t>
      </w:r>
    </w:p>
    <w:p w:rsidR="008A029D" w:rsidRDefault="008A029D" w:rsidP="008A029D">
      <w:pPr>
        <w:pStyle w:val="NormalWeb"/>
        <w:spacing w:line="360" w:lineRule="auto"/>
        <w:ind w:left="-283" w:right="-283"/>
        <w:contextualSpacing/>
        <w:mirrorIndents/>
        <w:jc w:val="both"/>
        <w:rPr>
          <w:rFonts w:ascii="Arial" w:eastAsia="Century Gothic" w:hAnsi="Arial" w:cs="Arial"/>
          <w:b/>
        </w:rPr>
      </w:pPr>
    </w:p>
    <w:p w:rsidR="008A029D" w:rsidRDefault="00D407A0"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b/>
        </w:rPr>
        <w:t>- No existe vulneración al derecho político-electoral de los actores, en su vertiente a ser votados, ya que l</w:t>
      </w:r>
      <w:r w:rsidR="00BB6601">
        <w:rPr>
          <w:rFonts w:ascii="Arial" w:eastAsia="Century Gothic" w:hAnsi="Arial" w:cs="Arial"/>
          <w:b/>
        </w:rPr>
        <w:t>as autoridades responsables no estaban en aptitud de registrar las candidaturas de los actores con base en el dictamen de cinco de abril, pues no se trata de un acto definitivo dentro del proceso interno de selección de candidaturas, que otorgara el derecho a ser registrados</w:t>
      </w:r>
      <w:r>
        <w:rPr>
          <w:rFonts w:ascii="Arial" w:eastAsia="Century Gothic" w:hAnsi="Arial" w:cs="Arial"/>
          <w:b/>
        </w:rPr>
        <w:t>.</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8A029D" w:rsidRDefault="002C0055"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rPr>
        <w:t xml:space="preserve">Los agravios que plantean los actores </w:t>
      </w:r>
      <w:r w:rsidR="00BB6601">
        <w:rPr>
          <w:rFonts w:ascii="Arial" w:eastAsia="Century Gothic" w:hAnsi="Arial" w:cs="Arial"/>
        </w:rPr>
        <w:t xml:space="preserve">en los incisos a) y c) </w:t>
      </w:r>
      <w:r>
        <w:rPr>
          <w:rFonts w:ascii="Arial" w:eastAsia="Century Gothic" w:hAnsi="Arial" w:cs="Arial"/>
        </w:rPr>
        <w:t xml:space="preserve">son inatendibles, ya que combaten un acto que no </w:t>
      </w:r>
      <w:proofErr w:type="gramStart"/>
      <w:r>
        <w:rPr>
          <w:rFonts w:ascii="Arial" w:eastAsia="Century Gothic" w:hAnsi="Arial" w:cs="Arial"/>
        </w:rPr>
        <w:t>les</w:t>
      </w:r>
      <w:proofErr w:type="gramEnd"/>
      <w:r>
        <w:rPr>
          <w:rFonts w:ascii="Arial" w:eastAsia="Century Gothic" w:hAnsi="Arial" w:cs="Arial"/>
        </w:rPr>
        <w:t xml:space="preserve"> causa perjuicio a su esfera de derechos político-electorales.</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8A029D" w:rsidRDefault="002C0055"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rPr>
        <w:t xml:space="preserve">Lo anterior se afirma, ya que </w:t>
      </w:r>
      <w:r w:rsidRPr="002906F3">
        <w:rPr>
          <w:rFonts w:ascii="Arial" w:eastAsia="Century Gothic" w:hAnsi="Arial" w:cs="Arial"/>
        </w:rPr>
        <w:t xml:space="preserve">la noción de perjuicio presupone la existencia de un derecho legítimamente tutelado, que cuando se transgrede por la actuación </w:t>
      </w:r>
      <w:r w:rsidRPr="002906F3">
        <w:rPr>
          <w:rFonts w:ascii="Arial" w:eastAsia="Century Gothic" w:hAnsi="Arial" w:cs="Arial"/>
        </w:rPr>
        <w:lastRenderedPageBreak/>
        <w:t xml:space="preserve">de una autoridad, faculta a su titular para acudir ante el órgano jurisdiccional </w:t>
      </w:r>
      <w:r>
        <w:rPr>
          <w:rFonts w:ascii="Arial" w:eastAsia="Century Gothic" w:hAnsi="Arial" w:cs="Arial"/>
        </w:rPr>
        <w:t xml:space="preserve">a demandar </w:t>
      </w:r>
      <w:r w:rsidRPr="002906F3">
        <w:rPr>
          <w:rFonts w:ascii="Arial" w:eastAsia="Century Gothic" w:hAnsi="Arial" w:cs="Arial"/>
        </w:rPr>
        <w:t>el cese de esa violación</w:t>
      </w:r>
      <w:r>
        <w:rPr>
          <w:rStyle w:val="Refdenotaalpie"/>
          <w:rFonts w:ascii="Arial" w:eastAsia="Century Gothic" w:hAnsi="Arial" w:cs="Arial"/>
          <w:b/>
          <w:i/>
        </w:rPr>
        <w:footnoteReference w:id="8"/>
      </w:r>
      <w:r w:rsidRPr="002906F3">
        <w:rPr>
          <w:rFonts w:ascii="Arial" w:eastAsia="Century Gothic" w:hAnsi="Arial" w:cs="Arial"/>
        </w:rPr>
        <w:t xml:space="preserve">. </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8A029D" w:rsidRDefault="002C0055" w:rsidP="008A029D">
      <w:pPr>
        <w:pStyle w:val="NormalWeb"/>
        <w:spacing w:line="360" w:lineRule="auto"/>
        <w:ind w:left="-283" w:right="-283"/>
        <w:contextualSpacing/>
        <w:mirrorIndents/>
        <w:jc w:val="both"/>
        <w:rPr>
          <w:rFonts w:ascii="Arial" w:eastAsia="Century Gothic" w:hAnsi="Arial" w:cs="Arial"/>
        </w:rPr>
      </w:pPr>
      <w:r>
        <w:rPr>
          <w:rFonts w:ascii="Arial" w:eastAsia="Century Gothic" w:hAnsi="Arial" w:cs="Arial"/>
        </w:rPr>
        <w:t xml:space="preserve">Sin embargo, en el presente caso, los promoventes hacen descansar su reclamo a partir del supuesto derecho a ser registrados como candidatos, a partir del dictamen </w:t>
      </w:r>
      <w:r>
        <w:rPr>
          <w:rFonts w:ascii="Arial" w:hAnsi="Arial" w:cs="Arial"/>
        </w:rPr>
        <w:t>de cinco de abril, por el cual se publica la lista de candidatos y candidatas para el proceso electoral 2018-2019, emitida por la C</w:t>
      </w:r>
      <w:r w:rsidR="00560B86">
        <w:rPr>
          <w:rFonts w:ascii="Arial" w:hAnsi="Arial" w:cs="Arial"/>
        </w:rPr>
        <w:t xml:space="preserve">omisión </w:t>
      </w:r>
      <w:r>
        <w:rPr>
          <w:rFonts w:ascii="Arial" w:hAnsi="Arial" w:cs="Arial"/>
        </w:rPr>
        <w:t>N</w:t>
      </w:r>
      <w:r w:rsidR="00560B86">
        <w:rPr>
          <w:rFonts w:ascii="Arial" w:hAnsi="Arial" w:cs="Arial"/>
        </w:rPr>
        <w:t xml:space="preserve">acional de </w:t>
      </w:r>
      <w:r>
        <w:rPr>
          <w:rFonts w:ascii="Arial" w:hAnsi="Arial" w:cs="Arial"/>
        </w:rPr>
        <w:t>E</w:t>
      </w:r>
      <w:r w:rsidR="00560B86">
        <w:rPr>
          <w:rFonts w:ascii="Arial" w:hAnsi="Arial" w:cs="Arial"/>
        </w:rPr>
        <w:t>lecciones</w:t>
      </w:r>
      <w:r>
        <w:rPr>
          <w:rFonts w:ascii="Arial" w:hAnsi="Arial" w:cs="Arial"/>
        </w:rPr>
        <w:t xml:space="preserve">, </w:t>
      </w:r>
      <w:r>
        <w:rPr>
          <w:rFonts w:ascii="Arial" w:eastAsia="Century Gothic" w:hAnsi="Arial" w:cs="Arial"/>
        </w:rPr>
        <w:t xml:space="preserve">pero tal determinación no les genera el derecho a ser registrados, ya que </w:t>
      </w:r>
      <w:r>
        <w:rPr>
          <w:rFonts w:ascii="Arial" w:hAnsi="Arial" w:cs="Arial"/>
        </w:rPr>
        <w:t>carece de definitividad.</w:t>
      </w:r>
    </w:p>
    <w:p w:rsidR="008A029D" w:rsidRDefault="008A029D" w:rsidP="008A029D">
      <w:pPr>
        <w:pStyle w:val="NormalWeb"/>
        <w:spacing w:line="360" w:lineRule="auto"/>
        <w:ind w:left="-283" w:right="-283"/>
        <w:contextualSpacing/>
        <w:mirrorIndents/>
        <w:jc w:val="both"/>
        <w:rPr>
          <w:rFonts w:ascii="Arial" w:eastAsia="Century Gothic" w:hAnsi="Arial" w:cs="Arial"/>
        </w:rPr>
      </w:pPr>
    </w:p>
    <w:p w:rsidR="002C0055" w:rsidRPr="008A029D" w:rsidRDefault="002C0055" w:rsidP="008A029D">
      <w:pPr>
        <w:pStyle w:val="NormalWeb"/>
        <w:spacing w:line="360" w:lineRule="auto"/>
        <w:ind w:left="-283" w:right="-283"/>
        <w:contextualSpacing/>
        <w:mirrorIndents/>
        <w:jc w:val="both"/>
        <w:rPr>
          <w:rFonts w:ascii="Arial" w:eastAsia="Century Gothic" w:hAnsi="Arial" w:cs="Arial"/>
        </w:rPr>
      </w:pPr>
      <w:r>
        <w:rPr>
          <w:rFonts w:ascii="Arial" w:hAnsi="Arial" w:cs="Arial"/>
        </w:rPr>
        <w:t>De acuerdo</w:t>
      </w:r>
      <w:r w:rsidRPr="004C055E">
        <w:rPr>
          <w:rFonts w:ascii="Arial" w:hAnsi="Arial" w:cs="Arial"/>
        </w:rPr>
        <w:t xml:space="preserve"> </w:t>
      </w:r>
      <w:r>
        <w:rPr>
          <w:rFonts w:ascii="Arial" w:hAnsi="Arial" w:cs="Arial"/>
        </w:rPr>
        <w:t>al proceso de selección interna establecido en los estatutos de MORENA</w:t>
      </w:r>
      <w:r>
        <w:rPr>
          <w:rStyle w:val="Refdenotaalpie"/>
          <w:rFonts w:ascii="Arial" w:hAnsi="Arial" w:cs="Arial"/>
        </w:rPr>
        <w:footnoteReference w:id="9"/>
      </w:r>
      <w:r>
        <w:rPr>
          <w:rFonts w:ascii="Arial" w:hAnsi="Arial" w:cs="Arial"/>
        </w:rPr>
        <w:t xml:space="preserve">,  así como lo establecido en la </w:t>
      </w:r>
      <w:r w:rsidRPr="00E91711">
        <w:rPr>
          <w:rFonts w:ascii="Arial" w:hAnsi="Arial" w:cs="Arial"/>
          <w:b/>
        </w:rPr>
        <w:t>Convocatoria</w:t>
      </w:r>
      <w:r>
        <w:rPr>
          <w:rFonts w:ascii="Arial" w:hAnsi="Arial" w:cs="Arial"/>
        </w:rPr>
        <w:t xml:space="preserve"> en su </w:t>
      </w:r>
      <w:r w:rsidRPr="00E91711">
        <w:rPr>
          <w:rFonts w:ascii="Arial" w:hAnsi="Arial" w:cs="Arial"/>
          <w:b/>
        </w:rPr>
        <w:t>numeral 20</w:t>
      </w:r>
      <w:r>
        <w:rPr>
          <w:rFonts w:ascii="Arial" w:hAnsi="Arial" w:cs="Arial"/>
        </w:rPr>
        <w:t xml:space="preserve"> se desprende lo siguiente:</w:t>
      </w:r>
    </w:p>
    <w:p w:rsidR="000E5A76" w:rsidRPr="002B114A" w:rsidRDefault="000E5A76" w:rsidP="000E5A76">
      <w:pPr>
        <w:pStyle w:val="NormalWeb"/>
        <w:spacing w:after="0" w:afterAutospacing="0"/>
        <w:ind w:left="708" w:right="1134" w:firstLine="991"/>
        <w:contextualSpacing/>
        <w:mirrorIndents/>
        <w:jc w:val="both"/>
        <w:rPr>
          <w:rFonts w:ascii="Arial" w:hAnsi="Arial" w:cs="Arial"/>
          <w:i/>
          <w:sz w:val="20"/>
          <w:szCs w:val="20"/>
        </w:rPr>
      </w:pPr>
      <w:r w:rsidRPr="002B114A">
        <w:rPr>
          <w:rFonts w:ascii="Arial" w:hAnsi="Arial" w:cs="Arial"/>
          <w:b/>
          <w:i/>
          <w:sz w:val="20"/>
          <w:szCs w:val="20"/>
        </w:rPr>
        <w:t>20.-</w:t>
      </w:r>
      <w:r w:rsidRPr="002B114A">
        <w:rPr>
          <w:rFonts w:ascii="Arial" w:hAnsi="Arial" w:cs="Arial"/>
          <w:i/>
          <w:sz w:val="20"/>
          <w:szCs w:val="20"/>
        </w:rPr>
        <w:t xml:space="preserve"> En caso de no realizarse alguna de las Asambleas Municipales, el Comité Ejecutivo Nacional decidirá, en coordinación con la Comisión Nacional de Elecciones, lo conducente. Los candidatos propietarios tendrán oportunidad de proponer a sus suplentes quienes, en todo caso, serán aprobados y designados por la Comisión Nacional de Elecciones. </w:t>
      </w:r>
      <w:r w:rsidRPr="002B114A">
        <w:rPr>
          <w:rFonts w:ascii="Arial" w:hAnsi="Arial" w:cs="Arial"/>
          <w:b/>
          <w:i/>
          <w:sz w:val="20"/>
          <w:szCs w:val="20"/>
        </w:rPr>
        <w:t>El Consejo Nacional, o en su caso, el Comité Ejecutivo Nacional, sancionará el listado final de candidaturas externas e internas, por mayoría relativa y por representación proporcional, así como la distribución por género que garantice la paridad que establece el Estatuto y la Ley electoral correspondiente, a más tardar el día 6 de abril de 2019.</w:t>
      </w:r>
      <w:r w:rsidRPr="002B114A">
        <w:rPr>
          <w:rFonts w:ascii="Arial" w:hAnsi="Arial" w:cs="Arial"/>
          <w:i/>
          <w:sz w:val="20"/>
          <w:szCs w:val="20"/>
        </w:rPr>
        <w:t xml:space="preserve"> Las precampañas se realizarán de acuerdo a las características y tiempos que publique la Comisión Nacional de Elecciones en la página </w:t>
      </w:r>
      <w:hyperlink r:id="rId8" w:history="1">
        <w:r w:rsidRPr="002B114A">
          <w:rPr>
            <w:rStyle w:val="Hipervnculo"/>
            <w:rFonts w:ascii="Arial" w:hAnsi="Arial" w:cs="Arial"/>
            <w:i/>
            <w:sz w:val="20"/>
            <w:szCs w:val="20"/>
          </w:rPr>
          <w:t>http://morena.si</w:t>
        </w:r>
      </w:hyperlink>
      <w:r w:rsidRPr="002B114A">
        <w:rPr>
          <w:rFonts w:ascii="Arial" w:hAnsi="Arial" w:cs="Arial"/>
          <w:i/>
          <w:sz w:val="20"/>
          <w:szCs w:val="20"/>
        </w:rPr>
        <w:t>.</w:t>
      </w:r>
    </w:p>
    <w:p w:rsidR="000E5A76" w:rsidRDefault="000E5A76" w:rsidP="002C0055">
      <w:pPr>
        <w:pStyle w:val="NormalWeb"/>
        <w:spacing w:line="360" w:lineRule="auto"/>
        <w:ind w:right="-283"/>
        <w:contextualSpacing/>
        <w:mirrorIndents/>
        <w:jc w:val="both"/>
        <w:rPr>
          <w:rFonts w:ascii="Arial" w:hAnsi="Arial" w:cs="Arial"/>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Conforme a lo expuesto, el dictamen de cinco de abril </w:t>
      </w:r>
      <w:r w:rsidR="00560B86">
        <w:rPr>
          <w:rFonts w:ascii="Arial" w:hAnsi="Arial" w:cs="Arial"/>
          <w:sz w:val="24"/>
          <w:szCs w:val="24"/>
        </w:rPr>
        <w:t xml:space="preserve">es </w:t>
      </w:r>
      <w:r>
        <w:rPr>
          <w:rFonts w:ascii="Arial" w:hAnsi="Arial" w:cs="Arial"/>
          <w:sz w:val="24"/>
          <w:szCs w:val="24"/>
        </w:rPr>
        <w:t xml:space="preserve">un acto que </w:t>
      </w:r>
      <w:r w:rsidRPr="008F4610">
        <w:rPr>
          <w:rFonts w:ascii="Arial" w:hAnsi="Arial" w:cs="Arial"/>
          <w:b/>
          <w:sz w:val="24"/>
          <w:szCs w:val="24"/>
        </w:rPr>
        <w:t xml:space="preserve">no </w:t>
      </w:r>
      <w:r w:rsidR="00765D08">
        <w:rPr>
          <w:rFonts w:ascii="Arial" w:hAnsi="Arial" w:cs="Arial"/>
          <w:b/>
          <w:sz w:val="24"/>
          <w:szCs w:val="24"/>
        </w:rPr>
        <w:t>es</w:t>
      </w:r>
      <w:r w:rsidRPr="008F4610">
        <w:rPr>
          <w:rFonts w:ascii="Arial" w:hAnsi="Arial" w:cs="Arial"/>
          <w:b/>
          <w:sz w:val="24"/>
          <w:szCs w:val="24"/>
        </w:rPr>
        <w:t xml:space="preserve"> definitiv</w:t>
      </w:r>
      <w:r w:rsidR="00765D08">
        <w:rPr>
          <w:rFonts w:ascii="Arial" w:hAnsi="Arial" w:cs="Arial"/>
          <w:b/>
          <w:sz w:val="24"/>
          <w:szCs w:val="24"/>
        </w:rPr>
        <w:t>o</w:t>
      </w:r>
      <w:r w:rsidRPr="008F4610">
        <w:rPr>
          <w:rFonts w:ascii="Arial" w:hAnsi="Arial" w:cs="Arial"/>
          <w:b/>
          <w:sz w:val="24"/>
          <w:szCs w:val="24"/>
        </w:rPr>
        <w:t xml:space="preserve"> </w:t>
      </w:r>
      <w:r>
        <w:rPr>
          <w:rFonts w:ascii="Arial" w:hAnsi="Arial" w:cs="Arial"/>
          <w:sz w:val="24"/>
          <w:szCs w:val="24"/>
        </w:rPr>
        <w:t xml:space="preserve">desde el </w:t>
      </w:r>
      <w:r w:rsidRPr="008F4610">
        <w:rPr>
          <w:rFonts w:ascii="Arial" w:hAnsi="Arial" w:cs="Arial"/>
          <w:b/>
          <w:sz w:val="24"/>
          <w:szCs w:val="24"/>
        </w:rPr>
        <w:t>punto de vista sustancial</w:t>
      </w:r>
      <w:r>
        <w:rPr>
          <w:rFonts w:ascii="Arial" w:hAnsi="Arial" w:cs="Arial"/>
          <w:sz w:val="24"/>
          <w:szCs w:val="24"/>
        </w:rPr>
        <w:t xml:space="preserve">, ya que </w:t>
      </w:r>
      <w:r w:rsidRPr="008F4610">
        <w:rPr>
          <w:rFonts w:ascii="Arial" w:hAnsi="Arial" w:cs="Arial"/>
          <w:b/>
          <w:sz w:val="24"/>
          <w:szCs w:val="24"/>
        </w:rPr>
        <w:t xml:space="preserve">se trata de una determinación intraprocesal que no genera </w:t>
      </w:r>
      <w:r>
        <w:rPr>
          <w:rFonts w:ascii="Arial" w:hAnsi="Arial" w:cs="Arial"/>
          <w:b/>
          <w:sz w:val="24"/>
          <w:szCs w:val="24"/>
        </w:rPr>
        <w:t xml:space="preserve">el </w:t>
      </w:r>
      <w:r w:rsidRPr="008F4610">
        <w:rPr>
          <w:rFonts w:ascii="Arial" w:hAnsi="Arial" w:cs="Arial"/>
          <w:b/>
          <w:sz w:val="24"/>
          <w:szCs w:val="24"/>
        </w:rPr>
        <w:t>derecho</w:t>
      </w:r>
      <w:r>
        <w:rPr>
          <w:rFonts w:ascii="Arial" w:hAnsi="Arial" w:cs="Arial"/>
          <w:b/>
          <w:sz w:val="24"/>
          <w:szCs w:val="24"/>
        </w:rPr>
        <w:t xml:space="preserve"> de los promoventes a ser registrados como candidatos, </w:t>
      </w:r>
      <w:r>
        <w:rPr>
          <w:rFonts w:ascii="Arial" w:hAnsi="Arial" w:cs="Arial"/>
          <w:sz w:val="24"/>
          <w:szCs w:val="24"/>
        </w:rPr>
        <w:t xml:space="preserve">sino que se trata de un </w:t>
      </w:r>
      <w:proofErr w:type="spellStart"/>
      <w:r>
        <w:rPr>
          <w:rFonts w:ascii="Arial" w:hAnsi="Arial" w:cs="Arial"/>
          <w:sz w:val="24"/>
          <w:szCs w:val="24"/>
        </w:rPr>
        <w:t>predictamen</w:t>
      </w:r>
      <w:proofErr w:type="spellEnd"/>
      <w:r>
        <w:rPr>
          <w:rFonts w:ascii="Arial" w:hAnsi="Arial" w:cs="Arial"/>
          <w:sz w:val="24"/>
          <w:szCs w:val="24"/>
        </w:rPr>
        <w:t xml:space="preserve">, como se precisará a continuación. </w:t>
      </w:r>
    </w:p>
    <w:p w:rsidR="002B114A" w:rsidRDefault="002B114A"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Por su parte, la Sala Superior</w:t>
      </w:r>
      <w:r>
        <w:rPr>
          <w:rStyle w:val="Refdenotaalpie"/>
          <w:rFonts w:ascii="Arial" w:hAnsi="Arial" w:cs="Arial"/>
          <w:sz w:val="24"/>
          <w:szCs w:val="24"/>
        </w:rPr>
        <w:footnoteReference w:id="10"/>
      </w:r>
      <w:r>
        <w:rPr>
          <w:rFonts w:ascii="Arial" w:hAnsi="Arial" w:cs="Arial"/>
          <w:sz w:val="24"/>
          <w:szCs w:val="24"/>
        </w:rPr>
        <w:t xml:space="preserve"> refiere que en el concepto de definitividad deberán tomarse en cu</w:t>
      </w:r>
      <w:r w:rsidR="00D407A0">
        <w:rPr>
          <w:rFonts w:ascii="Arial" w:hAnsi="Arial" w:cs="Arial"/>
          <w:sz w:val="24"/>
          <w:szCs w:val="24"/>
        </w:rPr>
        <w:t>e</w:t>
      </w:r>
      <w:r>
        <w:rPr>
          <w:rFonts w:ascii="Arial" w:hAnsi="Arial" w:cs="Arial"/>
          <w:sz w:val="24"/>
          <w:szCs w:val="24"/>
        </w:rPr>
        <w:t xml:space="preserve">nta dos perspectivas concurrentes: </w:t>
      </w:r>
    </w:p>
    <w:p w:rsidR="002C0055" w:rsidRDefault="002C0055"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La primera atiende a una definitividad formal, consistente en que el contenido del acto o resolución que se impugne no pueda sufrir variación alguna a través de la emisión de un nuevo acto o resolución, que pueda ser modificado, revocado o bien, nulificado. En cambio, la segunda, atiende a un enfoque de definitividad sustancial o material, surgida con referencia a los efectos jurídicos o materiales que pueda generar el acto o resolución de que se trate en el acervo sustantivo de derechos de quien haga valer el medio de impugnación en materia electoral. </w:t>
      </w:r>
    </w:p>
    <w:p w:rsidR="002C0055" w:rsidRDefault="002C0055"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De la anterior conceptualización, se debe tomar en cuenta que en los procedimientos administrativos y en los procesos jurisdiccionales, se pueden identificar dos tipos de actos: </w:t>
      </w:r>
    </w:p>
    <w:p w:rsidR="002C0055" w:rsidRDefault="002C0055" w:rsidP="002C0055">
      <w:pPr>
        <w:spacing w:after="0" w:line="360" w:lineRule="auto"/>
        <w:ind w:left="-283" w:right="-283"/>
        <w:jc w:val="both"/>
        <w:rPr>
          <w:rFonts w:ascii="Arial" w:hAnsi="Arial" w:cs="Arial"/>
          <w:sz w:val="24"/>
          <w:szCs w:val="24"/>
        </w:rPr>
      </w:pPr>
    </w:p>
    <w:p w:rsidR="002C0055" w:rsidRDefault="002C0055" w:rsidP="009F2B6A">
      <w:pPr>
        <w:spacing w:after="0" w:line="240" w:lineRule="auto"/>
        <w:ind w:left="1417" w:right="-283"/>
        <w:jc w:val="both"/>
        <w:rPr>
          <w:rFonts w:ascii="Arial" w:hAnsi="Arial" w:cs="Arial"/>
          <w:i/>
          <w:sz w:val="24"/>
          <w:szCs w:val="24"/>
        </w:rPr>
      </w:pPr>
      <w:r w:rsidRPr="00FB3198">
        <w:rPr>
          <w:rFonts w:ascii="Arial" w:hAnsi="Arial" w:cs="Arial"/>
          <w:i/>
          <w:sz w:val="24"/>
          <w:szCs w:val="24"/>
        </w:rPr>
        <w:t xml:space="preserve">a) los de carácter preparatorio, cuyo único fin consiste en proporcionar elementos para tomar y apoyar la decisión que en su momento se emita, y </w:t>
      </w:r>
    </w:p>
    <w:p w:rsidR="00D06A5B" w:rsidRPr="00FB3198" w:rsidRDefault="00D06A5B" w:rsidP="009F2B6A">
      <w:pPr>
        <w:spacing w:after="0" w:line="240" w:lineRule="auto"/>
        <w:ind w:left="1417" w:right="-283"/>
        <w:jc w:val="both"/>
        <w:rPr>
          <w:rFonts w:ascii="Arial" w:hAnsi="Arial" w:cs="Arial"/>
          <w:i/>
          <w:sz w:val="24"/>
          <w:szCs w:val="24"/>
        </w:rPr>
      </w:pPr>
    </w:p>
    <w:p w:rsidR="002C0055" w:rsidRDefault="002C0055" w:rsidP="009F2B6A">
      <w:pPr>
        <w:spacing w:after="0" w:line="240" w:lineRule="auto"/>
        <w:ind w:left="1417" w:right="-283"/>
        <w:jc w:val="both"/>
        <w:rPr>
          <w:rFonts w:ascii="Arial" w:hAnsi="Arial" w:cs="Arial"/>
          <w:i/>
          <w:sz w:val="24"/>
          <w:szCs w:val="24"/>
        </w:rPr>
      </w:pPr>
      <w:r w:rsidRPr="00FB3198">
        <w:rPr>
          <w:rFonts w:ascii="Arial" w:hAnsi="Arial" w:cs="Arial"/>
          <w:i/>
          <w:sz w:val="24"/>
          <w:szCs w:val="24"/>
        </w:rPr>
        <w:t>b) el acto decisorio en sí, por el que se asume la decisión que corresponda, mediante el pronunciamiento sobre el objeto de la controversia.</w:t>
      </w:r>
    </w:p>
    <w:p w:rsidR="002C0055" w:rsidRDefault="002C0055" w:rsidP="002C0055">
      <w:pPr>
        <w:spacing w:after="0" w:line="360" w:lineRule="auto"/>
        <w:ind w:left="1417" w:right="-283"/>
        <w:jc w:val="both"/>
        <w:rPr>
          <w:rFonts w:ascii="Arial" w:hAnsi="Arial" w:cs="Arial"/>
          <w:i/>
          <w:sz w:val="24"/>
          <w:szCs w:val="24"/>
        </w:rPr>
      </w:pPr>
    </w:p>
    <w:p w:rsidR="002C0055" w:rsidRDefault="002C0055" w:rsidP="002C0055">
      <w:pPr>
        <w:spacing w:after="0" w:line="360" w:lineRule="auto"/>
        <w:ind w:left="-283" w:right="-283"/>
        <w:jc w:val="both"/>
        <w:rPr>
          <w:rFonts w:ascii="Arial" w:hAnsi="Arial" w:cs="Arial"/>
          <w:b/>
          <w:sz w:val="24"/>
          <w:szCs w:val="24"/>
        </w:rPr>
      </w:pPr>
      <w:r>
        <w:rPr>
          <w:rFonts w:ascii="Arial" w:hAnsi="Arial" w:cs="Arial"/>
          <w:sz w:val="24"/>
          <w:szCs w:val="24"/>
        </w:rPr>
        <w:t xml:space="preserve">Ante ello, los actos preparatorios adquieren la definitividad formal cuando ya no existe la posibilidad de que sean modificados, anulados o rectificados, a causa de un medio de defensa legal o </w:t>
      </w:r>
      <w:r w:rsidRPr="0005315A">
        <w:rPr>
          <w:rFonts w:ascii="Arial" w:hAnsi="Arial" w:cs="Arial"/>
          <w:b/>
          <w:sz w:val="24"/>
          <w:szCs w:val="24"/>
        </w:rPr>
        <w:t>en el uso de una faculta</w:t>
      </w:r>
      <w:r>
        <w:rPr>
          <w:rFonts w:ascii="Arial" w:hAnsi="Arial" w:cs="Arial"/>
          <w:b/>
          <w:sz w:val="24"/>
          <w:szCs w:val="24"/>
        </w:rPr>
        <w:t>d</w:t>
      </w:r>
      <w:r w:rsidRPr="0005315A">
        <w:rPr>
          <w:rFonts w:ascii="Arial" w:hAnsi="Arial" w:cs="Arial"/>
          <w:b/>
          <w:sz w:val="24"/>
          <w:szCs w:val="24"/>
        </w:rPr>
        <w:t xml:space="preserve"> oficiosa</w:t>
      </w:r>
      <w:r>
        <w:rPr>
          <w:rFonts w:ascii="Arial" w:hAnsi="Arial" w:cs="Arial"/>
          <w:sz w:val="24"/>
          <w:szCs w:val="24"/>
        </w:rPr>
        <w:t xml:space="preserve">, </w:t>
      </w:r>
      <w:r w:rsidRPr="0005315A">
        <w:rPr>
          <w:rFonts w:ascii="Arial" w:hAnsi="Arial" w:cs="Arial"/>
          <w:b/>
          <w:sz w:val="24"/>
          <w:szCs w:val="24"/>
        </w:rPr>
        <w:t>por alguna autoridad facultada jurídicamente</w:t>
      </w:r>
      <w:r>
        <w:rPr>
          <w:rFonts w:ascii="Arial" w:hAnsi="Arial" w:cs="Arial"/>
          <w:b/>
          <w:sz w:val="24"/>
          <w:szCs w:val="24"/>
        </w:rPr>
        <w:t xml:space="preserve">; </w:t>
      </w:r>
      <w:r>
        <w:rPr>
          <w:rFonts w:ascii="Arial" w:hAnsi="Arial" w:cs="Arial"/>
          <w:sz w:val="24"/>
          <w:szCs w:val="24"/>
        </w:rPr>
        <w:t xml:space="preserve">pero aun cuando se puedan considerar definitivos y firmes desde el punto de vista formal, </w:t>
      </w:r>
      <w:r w:rsidRPr="002C3794">
        <w:rPr>
          <w:rFonts w:ascii="Arial" w:hAnsi="Arial" w:cs="Arial"/>
          <w:b/>
          <w:sz w:val="24"/>
          <w:szCs w:val="24"/>
        </w:rPr>
        <w:t xml:space="preserve">sus efectos se limitan a ser intraprocesales, pues no </w:t>
      </w:r>
      <w:r>
        <w:rPr>
          <w:rFonts w:ascii="Arial" w:hAnsi="Arial" w:cs="Arial"/>
          <w:b/>
          <w:sz w:val="24"/>
          <w:szCs w:val="24"/>
        </w:rPr>
        <w:t xml:space="preserve">generan derechos sustantivos o bien, no </w:t>
      </w:r>
      <w:r w:rsidRPr="002C3794">
        <w:rPr>
          <w:rFonts w:ascii="Arial" w:hAnsi="Arial" w:cs="Arial"/>
          <w:b/>
          <w:sz w:val="24"/>
          <w:szCs w:val="24"/>
        </w:rPr>
        <w:t xml:space="preserve">producen de una manera directa o inmediata una afectación a </w:t>
      </w:r>
      <w:r>
        <w:rPr>
          <w:rFonts w:ascii="Arial" w:hAnsi="Arial" w:cs="Arial"/>
          <w:b/>
          <w:sz w:val="24"/>
          <w:szCs w:val="24"/>
        </w:rPr>
        <w:t>ellos.</w:t>
      </w:r>
    </w:p>
    <w:p w:rsidR="002C0055" w:rsidRDefault="002C0055" w:rsidP="002C0055">
      <w:pPr>
        <w:spacing w:after="0" w:line="360" w:lineRule="auto"/>
        <w:ind w:left="-283" w:right="-283"/>
        <w:jc w:val="both"/>
        <w:rPr>
          <w:rFonts w:ascii="Arial" w:hAnsi="Arial" w:cs="Arial"/>
          <w:b/>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Lo anterior es así, ya que la producción de sus efectos definitivos, desde la perspectiva sustancial, opera hasta que son utilizados por la autoridad resolutora, en la emisión de la resolución final correspondiente, ya sea porque decida el fondo del asunto, o que le ponga fin al juicio o al procedimiento, esta sin pronunciarse sobre el fondo. </w:t>
      </w:r>
    </w:p>
    <w:p w:rsidR="002C0055" w:rsidRPr="002C3794" w:rsidRDefault="002C0055"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Sobre esa base, podemos deducir que la sola emisión de actos preparatorios, únicamente surte efectos inmediatos al interior de procedimiento al que pertenecen, y éstos no producen una afectación real en la parte sustantiva de </w:t>
      </w:r>
      <w:r>
        <w:rPr>
          <w:rFonts w:ascii="Arial" w:hAnsi="Arial" w:cs="Arial"/>
          <w:sz w:val="24"/>
          <w:szCs w:val="24"/>
        </w:rPr>
        <w:lastRenderedPageBreak/>
        <w:t xml:space="preserve">las o los justiciables, por lo que no reúnen los requisitos de definitividad en sus dos aspectos. </w:t>
      </w:r>
    </w:p>
    <w:p w:rsidR="002C0055" w:rsidRDefault="002C0055"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Ahora</w:t>
      </w:r>
      <w:r w:rsidR="00560B86">
        <w:rPr>
          <w:rFonts w:ascii="Arial" w:hAnsi="Arial" w:cs="Arial"/>
          <w:sz w:val="24"/>
          <w:szCs w:val="24"/>
        </w:rPr>
        <w:t xml:space="preserve"> bien</w:t>
      </w:r>
      <w:r>
        <w:rPr>
          <w:rFonts w:ascii="Arial" w:hAnsi="Arial" w:cs="Arial"/>
          <w:sz w:val="24"/>
          <w:szCs w:val="24"/>
        </w:rPr>
        <w:t>, atendiendo a</w:t>
      </w:r>
      <w:r w:rsidR="00560B86">
        <w:rPr>
          <w:rFonts w:ascii="Arial" w:hAnsi="Arial" w:cs="Arial"/>
          <w:sz w:val="24"/>
          <w:szCs w:val="24"/>
        </w:rPr>
        <w:t>l</w:t>
      </w:r>
      <w:r>
        <w:rPr>
          <w:rFonts w:ascii="Arial" w:hAnsi="Arial" w:cs="Arial"/>
          <w:sz w:val="24"/>
          <w:szCs w:val="24"/>
        </w:rPr>
        <w:t xml:space="preserve"> procedimiento de selección interna de candidaturas establecido tanto en los Estatutos </w:t>
      </w:r>
      <w:r w:rsidR="00560B86">
        <w:rPr>
          <w:rFonts w:ascii="Arial" w:hAnsi="Arial" w:cs="Arial"/>
          <w:sz w:val="24"/>
          <w:szCs w:val="24"/>
        </w:rPr>
        <w:t xml:space="preserve">de MORENA </w:t>
      </w:r>
      <w:r>
        <w:rPr>
          <w:rFonts w:ascii="Arial" w:hAnsi="Arial" w:cs="Arial"/>
          <w:sz w:val="24"/>
          <w:szCs w:val="24"/>
        </w:rPr>
        <w:t xml:space="preserve">como en la Convocatoria, es posible advertir que </w:t>
      </w:r>
      <w:r w:rsidRPr="00B72D66">
        <w:rPr>
          <w:rFonts w:ascii="Arial" w:hAnsi="Arial" w:cs="Arial"/>
          <w:b/>
          <w:sz w:val="24"/>
          <w:szCs w:val="24"/>
        </w:rPr>
        <w:t xml:space="preserve">el dictamen </w:t>
      </w:r>
      <w:r>
        <w:rPr>
          <w:rFonts w:ascii="Arial" w:hAnsi="Arial" w:cs="Arial"/>
          <w:b/>
          <w:sz w:val="24"/>
          <w:szCs w:val="24"/>
        </w:rPr>
        <w:t>de cinco de abril, aún no genera</w:t>
      </w:r>
      <w:r w:rsidR="00560B86">
        <w:rPr>
          <w:rFonts w:ascii="Arial" w:hAnsi="Arial" w:cs="Arial"/>
          <w:b/>
          <w:sz w:val="24"/>
          <w:szCs w:val="24"/>
        </w:rPr>
        <w:t>ba</w:t>
      </w:r>
      <w:r>
        <w:rPr>
          <w:rFonts w:ascii="Arial" w:hAnsi="Arial" w:cs="Arial"/>
          <w:b/>
          <w:sz w:val="24"/>
          <w:szCs w:val="24"/>
        </w:rPr>
        <w:t xml:space="preserve"> un derecho a favor de los promoventes, </w:t>
      </w:r>
      <w:r>
        <w:rPr>
          <w:rFonts w:ascii="Arial" w:hAnsi="Arial" w:cs="Arial"/>
          <w:sz w:val="24"/>
          <w:szCs w:val="24"/>
        </w:rPr>
        <w:t xml:space="preserve">ya que no tiene </w:t>
      </w:r>
      <w:r w:rsidRPr="00B72D66">
        <w:rPr>
          <w:rFonts w:ascii="Arial" w:hAnsi="Arial" w:cs="Arial"/>
          <w:b/>
          <w:sz w:val="24"/>
          <w:szCs w:val="24"/>
        </w:rPr>
        <w:t>la definitividad sustantiva ya referida</w:t>
      </w:r>
      <w:r>
        <w:rPr>
          <w:rFonts w:ascii="Arial" w:hAnsi="Arial" w:cs="Arial"/>
          <w:sz w:val="24"/>
          <w:szCs w:val="24"/>
        </w:rPr>
        <w:t xml:space="preserve">, debido a que se trata de </w:t>
      </w:r>
      <w:r w:rsidRPr="00B72D66">
        <w:rPr>
          <w:rFonts w:ascii="Arial" w:hAnsi="Arial" w:cs="Arial"/>
          <w:b/>
          <w:sz w:val="24"/>
          <w:szCs w:val="24"/>
        </w:rPr>
        <w:t>un acto procedimental</w:t>
      </w:r>
      <w:r>
        <w:rPr>
          <w:rFonts w:ascii="Arial" w:hAnsi="Arial" w:cs="Arial"/>
          <w:sz w:val="24"/>
          <w:szCs w:val="24"/>
        </w:rPr>
        <w:t xml:space="preserve"> que </w:t>
      </w:r>
      <w:r w:rsidRPr="00B72D66">
        <w:rPr>
          <w:rFonts w:ascii="Arial" w:hAnsi="Arial" w:cs="Arial"/>
          <w:b/>
          <w:sz w:val="24"/>
          <w:szCs w:val="24"/>
        </w:rPr>
        <w:t>no se ha perfeccionado con la sanción por el órgano interno competente</w:t>
      </w:r>
      <w:r>
        <w:rPr>
          <w:rFonts w:ascii="Arial" w:hAnsi="Arial" w:cs="Arial"/>
          <w:sz w:val="24"/>
          <w:szCs w:val="24"/>
        </w:rPr>
        <w:t>, siendo en el caso el Comité Ejecutivo Nacional o el Consejo Nacional, el que s</w:t>
      </w:r>
      <w:r w:rsidR="00560B86">
        <w:rPr>
          <w:rFonts w:ascii="Arial" w:hAnsi="Arial" w:cs="Arial"/>
          <w:sz w:val="24"/>
          <w:szCs w:val="24"/>
        </w:rPr>
        <w:t>í</w:t>
      </w:r>
      <w:r>
        <w:rPr>
          <w:rFonts w:ascii="Arial" w:hAnsi="Arial" w:cs="Arial"/>
          <w:sz w:val="24"/>
          <w:szCs w:val="24"/>
        </w:rPr>
        <w:t xml:space="preserve"> constituye el acto </w:t>
      </w:r>
      <w:r>
        <w:rPr>
          <w:rFonts w:ascii="Arial" w:hAnsi="Arial" w:cs="Arial"/>
          <w:b/>
          <w:sz w:val="24"/>
          <w:szCs w:val="24"/>
        </w:rPr>
        <w:t xml:space="preserve">con base en el cual los representantes de MORENA en el Estado, </w:t>
      </w:r>
      <w:r>
        <w:rPr>
          <w:rFonts w:ascii="Arial" w:hAnsi="Arial" w:cs="Arial"/>
          <w:sz w:val="24"/>
          <w:szCs w:val="24"/>
        </w:rPr>
        <w:t xml:space="preserve">podrán efectuar los registros. </w:t>
      </w:r>
    </w:p>
    <w:p w:rsidR="002C0055" w:rsidRDefault="002C0055" w:rsidP="002C0055">
      <w:pPr>
        <w:spacing w:after="0" w:line="360" w:lineRule="auto"/>
        <w:ind w:left="-283" w:right="-283"/>
        <w:jc w:val="both"/>
        <w:rPr>
          <w:rFonts w:ascii="Arial" w:hAnsi="Arial" w:cs="Arial"/>
          <w:sz w:val="24"/>
          <w:szCs w:val="24"/>
        </w:rPr>
      </w:pPr>
    </w:p>
    <w:p w:rsidR="00D407A0" w:rsidRDefault="00D407A0" w:rsidP="00D407A0">
      <w:pPr>
        <w:spacing w:after="0" w:line="360" w:lineRule="auto"/>
        <w:ind w:left="-283" w:right="-283"/>
        <w:jc w:val="both"/>
        <w:rPr>
          <w:rFonts w:ascii="Arial" w:hAnsi="Arial" w:cs="Arial"/>
          <w:sz w:val="24"/>
          <w:szCs w:val="24"/>
        </w:rPr>
      </w:pPr>
      <w:r>
        <w:rPr>
          <w:rFonts w:ascii="Arial" w:hAnsi="Arial" w:cs="Arial"/>
          <w:sz w:val="24"/>
          <w:szCs w:val="24"/>
        </w:rPr>
        <w:t>Incluso, los artículos 44, inciso u, y 46 inciso f,</w:t>
      </w:r>
      <w:r w:rsidR="00765D08">
        <w:rPr>
          <w:rFonts w:ascii="Arial" w:hAnsi="Arial" w:cs="Arial"/>
          <w:sz w:val="24"/>
          <w:szCs w:val="24"/>
        </w:rPr>
        <w:t xml:space="preserve"> de los Estatutos,</w:t>
      </w:r>
      <w:r>
        <w:rPr>
          <w:rFonts w:ascii="Arial" w:hAnsi="Arial" w:cs="Arial"/>
          <w:sz w:val="24"/>
          <w:szCs w:val="24"/>
        </w:rPr>
        <w:t xml:space="preserve"> establecen que será el Consejo Nacional quien en definitiva aprobará las listas finales de candidatos, cumpliendo con los elementos de género.</w:t>
      </w:r>
    </w:p>
    <w:p w:rsidR="00D407A0" w:rsidRDefault="00D407A0" w:rsidP="002C0055">
      <w:pPr>
        <w:spacing w:after="0" w:line="360" w:lineRule="auto"/>
        <w:ind w:left="-283" w:right="-283"/>
        <w:jc w:val="both"/>
        <w:rPr>
          <w:rFonts w:ascii="Arial" w:hAnsi="Arial" w:cs="Arial"/>
          <w:sz w:val="24"/>
          <w:szCs w:val="24"/>
        </w:rPr>
      </w:pPr>
    </w:p>
    <w:p w:rsidR="002C0055" w:rsidRDefault="002C0055" w:rsidP="002C0055">
      <w:pPr>
        <w:spacing w:after="0" w:line="360" w:lineRule="auto"/>
        <w:ind w:left="-283" w:right="-283"/>
        <w:jc w:val="both"/>
        <w:rPr>
          <w:rFonts w:ascii="Arial" w:hAnsi="Arial" w:cs="Arial"/>
          <w:sz w:val="24"/>
          <w:szCs w:val="24"/>
        </w:rPr>
      </w:pPr>
      <w:r>
        <w:rPr>
          <w:rFonts w:ascii="Arial" w:hAnsi="Arial" w:cs="Arial"/>
          <w:sz w:val="24"/>
          <w:szCs w:val="24"/>
        </w:rPr>
        <w:t xml:space="preserve">En otras palabras, el dictamen de cinco de abril solo </w:t>
      </w:r>
      <w:r w:rsidR="00560B86">
        <w:rPr>
          <w:rFonts w:ascii="Arial" w:hAnsi="Arial" w:cs="Arial"/>
          <w:sz w:val="24"/>
          <w:szCs w:val="24"/>
        </w:rPr>
        <w:t xml:space="preserve">es </w:t>
      </w:r>
      <w:r>
        <w:rPr>
          <w:rFonts w:ascii="Arial" w:hAnsi="Arial" w:cs="Arial"/>
          <w:sz w:val="24"/>
          <w:szCs w:val="24"/>
        </w:rPr>
        <w:t>un acto con una calidad semejante a un proyecto de un dictamen que aún no ha sido aprobado.</w:t>
      </w:r>
    </w:p>
    <w:p w:rsidR="004833DC" w:rsidRDefault="004833DC" w:rsidP="004833DC">
      <w:pPr>
        <w:spacing w:after="0" w:line="360" w:lineRule="auto"/>
        <w:ind w:left="-283" w:right="-283"/>
        <w:jc w:val="both"/>
        <w:rPr>
          <w:rFonts w:ascii="Arial" w:hAnsi="Arial" w:cs="Arial"/>
          <w:sz w:val="24"/>
          <w:szCs w:val="24"/>
        </w:rPr>
      </w:pPr>
    </w:p>
    <w:p w:rsidR="004833DC" w:rsidRDefault="00BD6AEF" w:rsidP="004833DC">
      <w:pPr>
        <w:spacing w:after="0" w:line="360" w:lineRule="auto"/>
        <w:ind w:left="-283" w:right="-283"/>
        <w:jc w:val="both"/>
        <w:rPr>
          <w:rFonts w:ascii="Arial" w:hAnsi="Arial" w:cs="Arial"/>
          <w:sz w:val="24"/>
          <w:szCs w:val="24"/>
        </w:rPr>
      </w:pPr>
      <w:r>
        <w:rPr>
          <w:rFonts w:ascii="Arial" w:hAnsi="Arial" w:cs="Arial"/>
          <w:sz w:val="24"/>
          <w:szCs w:val="24"/>
        </w:rPr>
        <w:t>Luego, e</w:t>
      </w:r>
      <w:r w:rsidR="004833DC">
        <w:rPr>
          <w:rFonts w:ascii="Arial" w:hAnsi="Arial" w:cs="Arial"/>
          <w:sz w:val="24"/>
          <w:szCs w:val="24"/>
        </w:rPr>
        <w:t>l Dictamen de cinco de abril, requería forzosamente de ser sancionado por el Consejo Nacional o el Comité Ejecutivo Nacional, de tal manera que, al no estar dado este acto, no podía darse por concluido el proceso interno de selección de candidaturas de MORENA, pues el mismo, aun podía ser modificado por los órganos interpartidistas ya referidos.</w:t>
      </w:r>
    </w:p>
    <w:p w:rsidR="008315FA" w:rsidRDefault="008315FA" w:rsidP="004833DC">
      <w:pPr>
        <w:spacing w:after="0" w:line="360" w:lineRule="auto"/>
        <w:ind w:left="-283" w:right="-283"/>
        <w:jc w:val="both"/>
        <w:rPr>
          <w:rFonts w:ascii="Arial" w:hAnsi="Arial" w:cs="Arial"/>
          <w:sz w:val="24"/>
          <w:szCs w:val="24"/>
        </w:rPr>
      </w:pPr>
    </w:p>
    <w:p w:rsidR="008315FA" w:rsidRDefault="00BD6AEF" w:rsidP="008315FA">
      <w:pPr>
        <w:spacing w:after="0" w:line="360" w:lineRule="auto"/>
        <w:ind w:left="-283" w:right="-283"/>
        <w:jc w:val="both"/>
        <w:rPr>
          <w:rFonts w:ascii="Arial" w:hAnsi="Arial" w:cs="Arial"/>
          <w:sz w:val="24"/>
          <w:szCs w:val="24"/>
        </w:rPr>
      </w:pPr>
      <w:r>
        <w:rPr>
          <w:rFonts w:ascii="Arial" w:hAnsi="Arial" w:cs="Arial"/>
          <w:sz w:val="24"/>
          <w:szCs w:val="24"/>
        </w:rPr>
        <w:t>De esta forma, s</w:t>
      </w:r>
      <w:r w:rsidR="008315FA">
        <w:rPr>
          <w:rFonts w:ascii="Arial" w:hAnsi="Arial" w:cs="Arial"/>
          <w:sz w:val="24"/>
          <w:szCs w:val="24"/>
        </w:rPr>
        <w:t xml:space="preserve">i no estaba concluido el proceso interno de selección, a través de la sanción </w:t>
      </w:r>
      <w:r>
        <w:rPr>
          <w:rFonts w:ascii="Arial" w:hAnsi="Arial" w:cs="Arial"/>
          <w:sz w:val="24"/>
          <w:szCs w:val="24"/>
        </w:rPr>
        <w:t>d</w:t>
      </w:r>
      <w:r w:rsidR="008315FA">
        <w:rPr>
          <w:rFonts w:ascii="Arial" w:hAnsi="Arial" w:cs="Arial"/>
          <w:sz w:val="24"/>
          <w:szCs w:val="24"/>
        </w:rPr>
        <w:t>el dictamen de cinco de abril, los representantes legales de MORENA en el Estado, no estaban en condiciones de llevar a cabo el registro solicitado por los actores.</w:t>
      </w:r>
    </w:p>
    <w:p w:rsidR="002C0055" w:rsidRDefault="002C0055" w:rsidP="002C0055">
      <w:pPr>
        <w:spacing w:after="0" w:line="360" w:lineRule="auto"/>
        <w:ind w:right="-283"/>
        <w:jc w:val="both"/>
        <w:rPr>
          <w:rFonts w:ascii="Arial" w:hAnsi="Arial" w:cs="Arial"/>
          <w:sz w:val="24"/>
          <w:szCs w:val="24"/>
        </w:rPr>
      </w:pPr>
    </w:p>
    <w:p w:rsidR="00BD6AEF" w:rsidRDefault="00BD6AEF" w:rsidP="008315FA">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 xml:space="preserve">Por tanto, el acto específicamente aquí reclamado, relativo a su falta de registro con base en el mencionado </w:t>
      </w:r>
      <w:proofErr w:type="spellStart"/>
      <w:r>
        <w:rPr>
          <w:rFonts w:ascii="Arial" w:hAnsi="Arial" w:cs="Arial"/>
        </w:rPr>
        <w:t>predictamen</w:t>
      </w:r>
      <w:proofErr w:type="spellEnd"/>
      <w:r>
        <w:rPr>
          <w:rFonts w:ascii="Arial" w:hAnsi="Arial" w:cs="Arial"/>
        </w:rPr>
        <w:t xml:space="preserve"> de cinco de abril, no resulta ilegal porque faltaba aún un paso consistente en la sanción de la autoridad competente.</w:t>
      </w:r>
    </w:p>
    <w:p w:rsidR="00BD6AEF" w:rsidRDefault="00BD6AEF" w:rsidP="008315FA">
      <w:pPr>
        <w:pStyle w:val="NormalWeb"/>
        <w:spacing w:before="0" w:beforeAutospacing="0" w:afterAutospacing="0" w:line="360" w:lineRule="auto"/>
        <w:ind w:left="-283" w:right="-283"/>
        <w:contextualSpacing/>
        <w:mirrorIndents/>
        <w:jc w:val="both"/>
        <w:rPr>
          <w:rFonts w:ascii="Arial" w:hAnsi="Arial" w:cs="Arial"/>
        </w:rPr>
      </w:pPr>
    </w:p>
    <w:p w:rsidR="00BD6AEF" w:rsidRDefault="00BD6AEF" w:rsidP="00BD6AEF">
      <w:pPr>
        <w:pStyle w:val="NormalWeb"/>
        <w:spacing w:before="0" w:beforeAutospacing="0" w:afterAutospacing="0" w:line="360" w:lineRule="auto"/>
        <w:ind w:left="-283" w:right="-283"/>
        <w:contextualSpacing/>
        <w:mirrorIndents/>
        <w:jc w:val="both"/>
        <w:rPr>
          <w:rFonts w:ascii="Arial" w:eastAsia="Century Gothic" w:hAnsi="Arial" w:cs="Arial"/>
        </w:rPr>
      </w:pPr>
      <w:r w:rsidRPr="007F31EC">
        <w:rPr>
          <w:rFonts w:ascii="Arial" w:eastAsia="Century Gothic" w:hAnsi="Arial" w:cs="Arial"/>
        </w:rPr>
        <w:lastRenderedPageBreak/>
        <w:t xml:space="preserve">En estas condiciones, </w:t>
      </w:r>
      <w:r>
        <w:rPr>
          <w:rFonts w:ascii="Arial" w:eastAsia="Century Gothic" w:hAnsi="Arial" w:cs="Arial"/>
        </w:rPr>
        <w:t>a</w:t>
      </w:r>
      <w:r>
        <w:rPr>
          <w:rFonts w:ascii="Arial" w:hAnsi="Arial" w:cs="Arial"/>
        </w:rPr>
        <w:t xml:space="preserve">l momento en que los promoventes presentaron ante los representantes legales de MORENA su petición de registro, </w:t>
      </w:r>
      <w:r w:rsidR="00BF5C65">
        <w:rPr>
          <w:rFonts w:ascii="Arial" w:hAnsi="Arial" w:cs="Arial"/>
        </w:rPr>
        <w:t xml:space="preserve">todavía </w:t>
      </w:r>
      <w:r>
        <w:rPr>
          <w:rFonts w:ascii="Arial" w:hAnsi="Arial" w:cs="Arial"/>
        </w:rPr>
        <w:t xml:space="preserve">no estaba sancionado el dictamen del cinco de abril y la autoridad no podía registrar a los actores, por lo que </w:t>
      </w:r>
      <w:r w:rsidRPr="007F31EC">
        <w:rPr>
          <w:rFonts w:ascii="Arial" w:eastAsia="Century Gothic" w:hAnsi="Arial" w:cs="Arial"/>
        </w:rPr>
        <w:t xml:space="preserve">no hay un acto </w:t>
      </w:r>
      <w:r w:rsidR="000B1092">
        <w:rPr>
          <w:rFonts w:ascii="Arial" w:eastAsia="Century Gothic" w:hAnsi="Arial" w:cs="Arial"/>
        </w:rPr>
        <w:t xml:space="preserve">específicamente </w:t>
      </w:r>
      <w:r w:rsidR="00BF5C65">
        <w:rPr>
          <w:rFonts w:ascii="Arial" w:eastAsia="Century Gothic" w:hAnsi="Arial" w:cs="Arial"/>
        </w:rPr>
        <w:t xml:space="preserve">aquí </w:t>
      </w:r>
      <w:r w:rsidRPr="007F31EC">
        <w:rPr>
          <w:rFonts w:ascii="Arial" w:eastAsia="Century Gothic" w:hAnsi="Arial" w:cs="Arial"/>
        </w:rPr>
        <w:t>reclamado</w:t>
      </w:r>
      <w:r w:rsidR="000B1092">
        <w:rPr>
          <w:rFonts w:ascii="Arial" w:eastAsia="Century Gothic" w:hAnsi="Arial" w:cs="Arial"/>
        </w:rPr>
        <w:t>,</w:t>
      </w:r>
      <w:r w:rsidRPr="007F31EC">
        <w:rPr>
          <w:rFonts w:ascii="Arial" w:eastAsia="Century Gothic" w:hAnsi="Arial" w:cs="Arial"/>
        </w:rPr>
        <w:t xml:space="preserve"> que violente sus derechos político</w:t>
      </w:r>
      <w:r>
        <w:rPr>
          <w:rFonts w:ascii="Arial" w:eastAsia="Century Gothic" w:hAnsi="Arial" w:cs="Arial"/>
        </w:rPr>
        <w:t>-</w:t>
      </w:r>
      <w:r w:rsidRPr="007F31EC">
        <w:rPr>
          <w:rFonts w:ascii="Arial" w:eastAsia="Century Gothic" w:hAnsi="Arial" w:cs="Arial"/>
        </w:rPr>
        <w:t>electorales.</w:t>
      </w:r>
    </w:p>
    <w:p w:rsidR="00BD6AEF" w:rsidRDefault="00BD6AEF" w:rsidP="008315FA">
      <w:pPr>
        <w:pStyle w:val="NormalWeb"/>
        <w:spacing w:before="0" w:beforeAutospacing="0" w:afterAutospacing="0" w:line="360" w:lineRule="auto"/>
        <w:ind w:left="-283" w:right="-283"/>
        <w:contextualSpacing/>
        <w:mirrorIndents/>
        <w:jc w:val="both"/>
        <w:rPr>
          <w:rFonts w:ascii="Arial" w:hAnsi="Arial" w:cs="Arial"/>
        </w:rPr>
      </w:pPr>
    </w:p>
    <w:p w:rsidR="00816F8E" w:rsidRDefault="004833DC" w:rsidP="008315FA">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hAnsi="Arial" w:cs="Arial"/>
        </w:rPr>
        <w:t xml:space="preserve">Ahora bien, tenemos como hecho notorio, que </w:t>
      </w:r>
      <w:r w:rsidRPr="00384985">
        <w:rPr>
          <w:rFonts w:ascii="Arial" w:hAnsi="Arial" w:cs="Arial"/>
        </w:rPr>
        <w:t>este Tribunal</w:t>
      </w:r>
      <w:r>
        <w:rPr>
          <w:rFonts w:ascii="Arial" w:hAnsi="Arial" w:cs="Arial"/>
        </w:rPr>
        <w:t>,</w:t>
      </w:r>
      <w:r w:rsidRPr="00384985">
        <w:rPr>
          <w:rFonts w:ascii="Arial" w:hAnsi="Arial" w:cs="Arial"/>
        </w:rPr>
        <w:t xml:space="preserve"> el diez de abril </w:t>
      </w:r>
      <w:r>
        <w:rPr>
          <w:rFonts w:ascii="Arial" w:hAnsi="Arial" w:cs="Arial"/>
        </w:rPr>
        <w:t xml:space="preserve">resolvió </w:t>
      </w:r>
      <w:r w:rsidRPr="00384985">
        <w:rPr>
          <w:rFonts w:ascii="Arial" w:hAnsi="Arial" w:cs="Arial"/>
        </w:rPr>
        <w:t>el expediente TEEA-JDC-030/2019</w:t>
      </w:r>
      <w:r>
        <w:rPr>
          <w:rFonts w:ascii="Arial" w:hAnsi="Arial" w:cs="Arial"/>
        </w:rPr>
        <w:t xml:space="preserve">, ordenando </w:t>
      </w:r>
      <w:r w:rsidRPr="0047640C">
        <w:rPr>
          <w:rFonts w:ascii="Arial" w:hAnsi="Arial" w:cs="Arial"/>
          <w:b/>
        </w:rPr>
        <w:t>al Consejo Nacional y/o al Comité Ejecutivo Nacional</w:t>
      </w:r>
      <w:r>
        <w:rPr>
          <w:rFonts w:ascii="Arial" w:hAnsi="Arial" w:cs="Arial"/>
          <w:b/>
        </w:rPr>
        <w:t xml:space="preserve"> de MORENA</w:t>
      </w:r>
      <w:r w:rsidRPr="0047640C">
        <w:rPr>
          <w:rFonts w:ascii="Arial" w:hAnsi="Arial" w:cs="Arial"/>
          <w:b/>
        </w:rPr>
        <w:t xml:space="preserve">, </w:t>
      </w:r>
      <w:r>
        <w:rPr>
          <w:rFonts w:ascii="Arial" w:hAnsi="Arial" w:cs="Arial"/>
          <w:b/>
        </w:rPr>
        <w:t>para que en</w:t>
      </w:r>
      <w:r w:rsidRPr="0047640C">
        <w:rPr>
          <w:rFonts w:ascii="Arial" w:hAnsi="Arial" w:cs="Arial"/>
          <w:b/>
        </w:rPr>
        <w:t xml:space="preserve"> un término de seis horas contadas a partir de que </w:t>
      </w:r>
      <w:r>
        <w:rPr>
          <w:rFonts w:ascii="Arial" w:hAnsi="Arial" w:cs="Arial"/>
          <w:b/>
        </w:rPr>
        <w:t xml:space="preserve">le fuera </w:t>
      </w:r>
      <w:r w:rsidRPr="0047640C">
        <w:rPr>
          <w:rFonts w:ascii="Arial" w:hAnsi="Arial" w:cs="Arial"/>
          <w:b/>
        </w:rPr>
        <w:t xml:space="preserve">notificada </w:t>
      </w:r>
      <w:r>
        <w:rPr>
          <w:rFonts w:ascii="Arial" w:hAnsi="Arial" w:cs="Arial"/>
          <w:b/>
        </w:rPr>
        <w:t xml:space="preserve">la </w:t>
      </w:r>
      <w:r w:rsidRPr="0047640C">
        <w:rPr>
          <w:rFonts w:ascii="Arial" w:hAnsi="Arial" w:cs="Arial"/>
          <w:b/>
        </w:rPr>
        <w:t xml:space="preserve">resolución, </w:t>
      </w:r>
      <w:r w:rsidRPr="0047640C">
        <w:rPr>
          <w:rFonts w:ascii="Arial" w:hAnsi="Arial" w:cs="Arial"/>
        </w:rPr>
        <w:t>sancion</w:t>
      </w:r>
      <w:r>
        <w:rPr>
          <w:rFonts w:ascii="Arial" w:hAnsi="Arial" w:cs="Arial"/>
        </w:rPr>
        <w:t xml:space="preserve">ara </w:t>
      </w:r>
      <w:r w:rsidRPr="0047640C">
        <w:rPr>
          <w:rFonts w:ascii="Arial" w:hAnsi="Arial" w:cs="Arial"/>
        </w:rPr>
        <w:t xml:space="preserve">el listado de candidaturas para el proceso electoral 2018/2019 en Aguascalientes, </w:t>
      </w:r>
      <w:r w:rsidR="00BD6AEF">
        <w:rPr>
          <w:rFonts w:ascii="Arial" w:hAnsi="Arial" w:cs="Arial"/>
        </w:rPr>
        <w:t xml:space="preserve">a </w:t>
      </w:r>
      <w:r w:rsidRPr="0047640C">
        <w:rPr>
          <w:rFonts w:ascii="Arial" w:hAnsi="Arial" w:cs="Arial"/>
        </w:rPr>
        <w:t>que hace referencia el numeral 20 de la Convocatoria</w:t>
      </w:r>
      <w:r>
        <w:rPr>
          <w:rFonts w:ascii="Arial" w:hAnsi="Arial" w:cs="Arial"/>
        </w:rPr>
        <w:t xml:space="preserve">, </w:t>
      </w:r>
      <w:r w:rsidR="00BD6AEF">
        <w:rPr>
          <w:rFonts w:ascii="Arial" w:hAnsi="Arial" w:cs="Arial"/>
        </w:rPr>
        <w:t xml:space="preserve">y que en </w:t>
      </w:r>
      <w:r>
        <w:rPr>
          <w:rFonts w:ascii="Arial" w:hAnsi="Arial" w:cs="Arial"/>
        </w:rPr>
        <w:t>esa misma data, procedieron a realizar a través de un dictamen</w:t>
      </w:r>
      <w:r w:rsidR="00BD6AEF">
        <w:rPr>
          <w:rFonts w:ascii="Arial" w:hAnsi="Arial" w:cs="Arial"/>
        </w:rPr>
        <w:t>,</w:t>
      </w:r>
      <w:r>
        <w:rPr>
          <w:rFonts w:ascii="Arial" w:hAnsi="Arial" w:cs="Arial"/>
        </w:rPr>
        <w:t xml:space="preserve"> emitido por el Comité Ejecutivo Nacional</w:t>
      </w:r>
      <w:r w:rsidR="00BD6AEF">
        <w:rPr>
          <w:rFonts w:ascii="Arial" w:hAnsi="Arial" w:cs="Arial"/>
        </w:rPr>
        <w:t>;</w:t>
      </w:r>
      <w:r w:rsidR="008315FA">
        <w:rPr>
          <w:rFonts w:ascii="Arial" w:hAnsi="Arial" w:cs="Arial"/>
        </w:rPr>
        <w:t xml:space="preserve"> sin embargo, </w:t>
      </w:r>
      <w:r w:rsidR="007F31EC" w:rsidRPr="007F31EC">
        <w:rPr>
          <w:rFonts w:ascii="Arial" w:eastAsia="Century Gothic" w:hAnsi="Arial" w:cs="Arial"/>
        </w:rPr>
        <w:t xml:space="preserve">la vulneración </w:t>
      </w:r>
      <w:r w:rsidR="008315FA">
        <w:rPr>
          <w:rFonts w:ascii="Arial" w:eastAsia="Century Gothic" w:hAnsi="Arial" w:cs="Arial"/>
        </w:rPr>
        <w:t xml:space="preserve">del </w:t>
      </w:r>
      <w:r w:rsidR="007F31EC" w:rsidRPr="007F31EC">
        <w:rPr>
          <w:rFonts w:ascii="Arial" w:eastAsia="Century Gothic" w:hAnsi="Arial" w:cs="Arial"/>
        </w:rPr>
        <w:t xml:space="preserve">derecho a ser votados </w:t>
      </w:r>
      <w:r w:rsidR="008315FA">
        <w:rPr>
          <w:rFonts w:ascii="Arial" w:eastAsia="Century Gothic" w:hAnsi="Arial" w:cs="Arial"/>
        </w:rPr>
        <w:t xml:space="preserve">de los actores, </w:t>
      </w:r>
      <w:r w:rsidR="00816F8E">
        <w:rPr>
          <w:rFonts w:ascii="Arial" w:eastAsia="Century Gothic" w:hAnsi="Arial" w:cs="Arial"/>
        </w:rPr>
        <w:t xml:space="preserve">en su caso, </w:t>
      </w:r>
      <w:r w:rsidR="008315FA">
        <w:rPr>
          <w:rFonts w:ascii="Arial" w:eastAsia="Century Gothic" w:hAnsi="Arial" w:cs="Arial"/>
        </w:rPr>
        <w:t>se genera hasta en tanto se realizara e</w:t>
      </w:r>
      <w:r w:rsidR="009522AC">
        <w:rPr>
          <w:rFonts w:ascii="Arial" w:eastAsia="Century Gothic" w:hAnsi="Arial" w:cs="Arial"/>
        </w:rPr>
        <w:t>l registro y se aprobara por parte del Instituto Estatal Electoral</w:t>
      </w:r>
      <w:r w:rsidR="007F31EC" w:rsidRPr="007F31EC">
        <w:rPr>
          <w:rFonts w:ascii="Arial" w:eastAsia="Century Gothic" w:hAnsi="Arial" w:cs="Arial"/>
        </w:rPr>
        <w:t>, no antes</w:t>
      </w:r>
      <w:r w:rsidR="00816F8E">
        <w:rPr>
          <w:rFonts w:ascii="Arial" w:eastAsia="Century Gothic" w:hAnsi="Arial" w:cs="Arial"/>
        </w:rPr>
        <w:t>.</w:t>
      </w:r>
    </w:p>
    <w:p w:rsidR="00816F8E" w:rsidRDefault="00816F8E" w:rsidP="008315FA">
      <w:pPr>
        <w:pStyle w:val="NormalWeb"/>
        <w:spacing w:before="0" w:beforeAutospacing="0" w:afterAutospacing="0" w:line="360" w:lineRule="auto"/>
        <w:ind w:left="-283" w:right="-283"/>
        <w:contextualSpacing/>
        <w:mirrorIndents/>
        <w:jc w:val="both"/>
        <w:rPr>
          <w:rFonts w:ascii="Arial" w:eastAsia="Century Gothic" w:hAnsi="Arial" w:cs="Arial"/>
        </w:rPr>
      </w:pPr>
    </w:p>
    <w:p w:rsidR="009522AC" w:rsidRDefault="00816F8E" w:rsidP="008315FA">
      <w:pPr>
        <w:pStyle w:val="NormalWeb"/>
        <w:spacing w:before="0" w:beforeAutospacing="0" w:afterAutospacing="0" w:line="360" w:lineRule="auto"/>
        <w:ind w:left="-283" w:right="-283"/>
        <w:contextualSpacing/>
        <w:mirrorIndents/>
        <w:jc w:val="both"/>
        <w:rPr>
          <w:rFonts w:ascii="Arial" w:eastAsia="Century Gothic" w:hAnsi="Arial" w:cs="Arial"/>
          <w:u w:val="single"/>
        </w:rPr>
      </w:pPr>
      <w:r w:rsidRPr="00816F8E">
        <w:rPr>
          <w:rFonts w:ascii="Arial" w:eastAsia="Century Gothic" w:hAnsi="Arial" w:cs="Arial"/>
          <w:u w:val="single"/>
        </w:rPr>
        <w:t xml:space="preserve">Resulta importante precisar de forma enfática, que este órgano colegiado, no se ha pronunciado en ningún juicio, sobre la legalidad o no de este último dictamen, ni tampoco sobre </w:t>
      </w:r>
      <w:r>
        <w:rPr>
          <w:rFonts w:ascii="Arial" w:eastAsia="Century Gothic" w:hAnsi="Arial" w:cs="Arial"/>
          <w:u w:val="single"/>
        </w:rPr>
        <w:t>e</w:t>
      </w:r>
      <w:r w:rsidRPr="00816F8E">
        <w:rPr>
          <w:rFonts w:ascii="Arial" w:eastAsia="Century Gothic" w:hAnsi="Arial" w:cs="Arial"/>
          <w:u w:val="single"/>
        </w:rPr>
        <w:t>l registro finalmente llevado a cabo, al no haber sido impugnado</w:t>
      </w:r>
      <w:r>
        <w:rPr>
          <w:rFonts w:ascii="Arial" w:eastAsia="Century Gothic" w:hAnsi="Arial" w:cs="Arial"/>
          <w:u w:val="single"/>
        </w:rPr>
        <w:t>s</w:t>
      </w:r>
      <w:r w:rsidRPr="00816F8E">
        <w:rPr>
          <w:rFonts w:ascii="Arial" w:eastAsia="Century Gothic" w:hAnsi="Arial" w:cs="Arial"/>
          <w:u w:val="single"/>
        </w:rPr>
        <w:t>, ni uno, ni otro, ante esta potestad</w:t>
      </w:r>
      <w:r w:rsidR="007F31EC" w:rsidRPr="00816F8E">
        <w:rPr>
          <w:rFonts w:ascii="Arial" w:eastAsia="Century Gothic" w:hAnsi="Arial" w:cs="Arial"/>
          <w:u w:val="single"/>
        </w:rPr>
        <w:t>.</w:t>
      </w:r>
    </w:p>
    <w:p w:rsidR="003951D8" w:rsidRDefault="003951D8" w:rsidP="008315FA">
      <w:pPr>
        <w:pStyle w:val="NormalWeb"/>
        <w:spacing w:before="0" w:beforeAutospacing="0" w:afterAutospacing="0" w:line="360" w:lineRule="auto"/>
        <w:ind w:left="-283" w:right="-283"/>
        <w:contextualSpacing/>
        <w:mirrorIndents/>
        <w:jc w:val="both"/>
        <w:rPr>
          <w:rFonts w:ascii="Arial" w:eastAsia="Century Gothic" w:hAnsi="Arial" w:cs="Arial"/>
          <w:u w:val="single"/>
        </w:rPr>
      </w:pPr>
    </w:p>
    <w:p w:rsidR="002D55C0" w:rsidRDefault="002F1C12" w:rsidP="008315FA">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t>Es importante tener en consideración que la Sala Regional Monterrey del Tribunal Electoral del Poder Judicial de la Federación,</w:t>
      </w:r>
      <w:r>
        <w:rPr>
          <w:rStyle w:val="Refdenotaalpie"/>
          <w:rFonts w:ascii="Arial" w:eastAsia="Century Gothic" w:hAnsi="Arial" w:cs="Arial"/>
        </w:rPr>
        <w:footnoteReference w:id="11"/>
      </w:r>
      <w:r>
        <w:rPr>
          <w:rFonts w:ascii="Arial" w:eastAsia="Century Gothic" w:hAnsi="Arial" w:cs="Arial"/>
        </w:rPr>
        <w:t xml:space="preserve"> </w:t>
      </w:r>
      <w:r w:rsidR="002D55C0">
        <w:rPr>
          <w:rFonts w:ascii="Arial" w:eastAsia="Century Gothic" w:hAnsi="Arial" w:cs="Arial"/>
        </w:rPr>
        <w:t xml:space="preserve">ha precisado </w:t>
      </w:r>
      <w:r w:rsidR="00A73F4E">
        <w:rPr>
          <w:rFonts w:ascii="Arial" w:eastAsia="Century Gothic" w:hAnsi="Arial" w:cs="Arial"/>
        </w:rPr>
        <w:t>las etapas del</w:t>
      </w:r>
      <w:r>
        <w:rPr>
          <w:rFonts w:ascii="Arial" w:eastAsia="Century Gothic" w:hAnsi="Arial" w:cs="Arial"/>
        </w:rPr>
        <w:t xml:space="preserve"> procedimiento interno de selección de candidatos</w:t>
      </w:r>
      <w:r w:rsidR="002D55C0">
        <w:rPr>
          <w:rFonts w:ascii="Arial" w:eastAsia="Century Gothic" w:hAnsi="Arial" w:cs="Arial"/>
        </w:rPr>
        <w:t xml:space="preserve"> del partido político MORENA, el cual</w:t>
      </w:r>
      <w:r>
        <w:rPr>
          <w:rFonts w:ascii="Arial" w:eastAsia="Century Gothic" w:hAnsi="Arial" w:cs="Arial"/>
        </w:rPr>
        <w:t xml:space="preserve"> concluye con </w:t>
      </w:r>
      <w:r w:rsidR="002D55C0">
        <w:rPr>
          <w:rFonts w:ascii="Arial" w:eastAsia="Century Gothic" w:hAnsi="Arial" w:cs="Arial"/>
        </w:rPr>
        <w:t xml:space="preserve">la </w:t>
      </w:r>
      <w:r w:rsidR="002D55C0" w:rsidRPr="002D55C0">
        <w:rPr>
          <w:rFonts w:ascii="Arial" w:eastAsia="Century Gothic" w:hAnsi="Arial" w:cs="Arial"/>
          <w:b/>
        </w:rPr>
        <w:t>decisión final de las candidaturas</w:t>
      </w:r>
      <w:r w:rsidR="002D55C0">
        <w:rPr>
          <w:rFonts w:ascii="Arial" w:eastAsia="Century Gothic" w:hAnsi="Arial" w:cs="Arial"/>
        </w:rPr>
        <w:t xml:space="preserve"> por parte del Consejo Nacional de MORENA</w:t>
      </w:r>
      <w:r w:rsidR="00E03ED5">
        <w:rPr>
          <w:rFonts w:ascii="Arial" w:eastAsia="Century Gothic" w:hAnsi="Arial" w:cs="Arial"/>
        </w:rPr>
        <w:t xml:space="preserve"> o el Comité Ejecutivo Nacional</w:t>
      </w:r>
      <w:r w:rsidR="00A73F4E">
        <w:rPr>
          <w:rFonts w:ascii="Arial" w:eastAsia="Century Gothic" w:hAnsi="Arial" w:cs="Arial"/>
        </w:rPr>
        <w:t xml:space="preserve">, acerca de la </w:t>
      </w:r>
      <w:r w:rsidR="00A73F4E" w:rsidRPr="008A3456">
        <w:rPr>
          <w:rFonts w:ascii="Arial" w:eastAsia="Century Gothic" w:hAnsi="Arial" w:cs="Arial"/>
        </w:rPr>
        <w:t>lista de candidaturas</w:t>
      </w:r>
      <w:r w:rsidR="008A3456" w:rsidRPr="008A3456">
        <w:rPr>
          <w:rFonts w:ascii="Arial" w:eastAsia="Century Gothic" w:hAnsi="Arial" w:cs="Arial"/>
        </w:rPr>
        <w:t>.</w:t>
      </w:r>
    </w:p>
    <w:p w:rsidR="002D55C0" w:rsidRDefault="002D55C0" w:rsidP="008315FA">
      <w:pPr>
        <w:pStyle w:val="NormalWeb"/>
        <w:spacing w:before="0" w:beforeAutospacing="0" w:afterAutospacing="0" w:line="360" w:lineRule="auto"/>
        <w:ind w:left="-283" w:right="-283"/>
        <w:contextualSpacing/>
        <w:mirrorIndents/>
        <w:jc w:val="both"/>
        <w:rPr>
          <w:rFonts w:ascii="Arial" w:eastAsia="Century Gothic" w:hAnsi="Arial" w:cs="Arial"/>
        </w:rPr>
      </w:pPr>
    </w:p>
    <w:p w:rsidR="002F1C12" w:rsidRDefault="002D55C0" w:rsidP="002D55C0">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t xml:space="preserve">Una vez que se toma tal decisión, los representantes legales de MORENA en la entidad, presentan las solicitudes de registro de candidaturas ante </w:t>
      </w:r>
      <w:r w:rsidR="002F1C12">
        <w:rPr>
          <w:rFonts w:ascii="Arial" w:eastAsia="Century Gothic" w:hAnsi="Arial" w:cs="Arial"/>
        </w:rPr>
        <w:t>el Organismo Público Local Electoral</w:t>
      </w:r>
      <w:r>
        <w:rPr>
          <w:rStyle w:val="Refdenotaalpie"/>
          <w:rFonts w:ascii="Arial" w:eastAsia="Century Gothic" w:hAnsi="Arial" w:cs="Arial"/>
        </w:rPr>
        <w:footnoteReference w:id="12"/>
      </w:r>
      <w:r w:rsidR="002F1C12">
        <w:rPr>
          <w:rFonts w:ascii="Arial" w:eastAsia="Century Gothic" w:hAnsi="Arial" w:cs="Arial"/>
        </w:rPr>
        <w:t>.</w:t>
      </w:r>
    </w:p>
    <w:p w:rsidR="002D55C0" w:rsidRDefault="002D55C0" w:rsidP="008315FA">
      <w:pPr>
        <w:pStyle w:val="NormalWeb"/>
        <w:spacing w:before="0" w:beforeAutospacing="0" w:afterAutospacing="0" w:line="360" w:lineRule="auto"/>
        <w:ind w:left="-283" w:right="-283"/>
        <w:contextualSpacing/>
        <w:mirrorIndents/>
        <w:jc w:val="both"/>
        <w:rPr>
          <w:rFonts w:ascii="Arial" w:eastAsia="Century Gothic" w:hAnsi="Arial" w:cs="Arial"/>
        </w:rPr>
      </w:pPr>
    </w:p>
    <w:p w:rsidR="006A287A" w:rsidRDefault="002D55C0" w:rsidP="006A287A">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lastRenderedPageBreak/>
        <w:t>P</w:t>
      </w:r>
      <w:r w:rsidR="002F1C12">
        <w:rPr>
          <w:rFonts w:ascii="Arial" w:eastAsia="Century Gothic" w:hAnsi="Arial" w:cs="Arial"/>
        </w:rPr>
        <w:t>resenta</w:t>
      </w:r>
      <w:r>
        <w:rPr>
          <w:rFonts w:ascii="Arial" w:eastAsia="Century Gothic" w:hAnsi="Arial" w:cs="Arial"/>
        </w:rPr>
        <w:t>das</w:t>
      </w:r>
      <w:r w:rsidR="002F1C12">
        <w:rPr>
          <w:rFonts w:ascii="Arial" w:eastAsia="Century Gothic" w:hAnsi="Arial" w:cs="Arial"/>
        </w:rPr>
        <w:t xml:space="preserve"> </w:t>
      </w:r>
      <w:r>
        <w:rPr>
          <w:rFonts w:ascii="Arial" w:eastAsia="Century Gothic" w:hAnsi="Arial" w:cs="Arial"/>
        </w:rPr>
        <w:t xml:space="preserve">las solicitudes de registro ante la autoridad administrativa, </w:t>
      </w:r>
      <w:r w:rsidR="002F1C12">
        <w:rPr>
          <w:rFonts w:ascii="Arial" w:eastAsia="Century Gothic" w:hAnsi="Arial" w:cs="Arial"/>
        </w:rPr>
        <w:t xml:space="preserve">se abre una nueva etapa, ahora a cargo del </w:t>
      </w:r>
      <w:r w:rsidR="006A287A">
        <w:rPr>
          <w:rFonts w:ascii="Arial" w:eastAsia="Century Gothic" w:hAnsi="Arial" w:cs="Arial"/>
        </w:rPr>
        <w:t xml:space="preserve">Consejo General y Consejos Municipales Electorales, en las que, conforme al </w:t>
      </w:r>
      <w:r>
        <w:rPr>
          <w:rFonts w:ascii="Arial" w:eastAsia="Century Gothic" w:hAnsi="Arial" w:cs="Arial"/>
        </w:rPr>
        <w:t xml:space="preserve">artículo </w:t>
      </w:r>
      <w:r w:rsidR="006A287A">
        <w:rPr>
          <w:rFonts w:ascii="Arial" w:eastAsia="Century Gothic" w:hAnsi="Arial" w:cs="Arial"/>
        </w:rPr>
        <w:t xml:space="preserve">154 del Código Electoral, cuentan con un plazo de </w:t>
      </w:r>
      <w:r w:rsidR="002F1C12">
        <w:rPr>
          <w:rFonts w:ascii="Arial" w:eastAsia="Century Gothic" w:hAnsi="Arial" w:cs="Arial"/>
        </w:rPr>
        <w:t>tres días para analizar y aprobar las solicitudes de registro</w:t>
      </w:r>
      <w:r w:rsidR="00A73F4E">
        <w:rPr>
          <w:rFonts w:ascii="Arial" w:eastAsia="Century Gothic" w:hAnsi="Arial" w:cs="Arial"/>
        </w:rPr>
        <w:t xml:space="preserve"> que hayan cumplido con los requisito</w:t>
      </w:r>
      <w:r w:rsidR="008A3456">
        <w:rPr>
          <w:rFonts w:ascii="Arial" w:eastAsia="Century Gothic" w:hAnsi="Arial" w:cs="Arial"/>
        </w:rPr>
        <w:t>s</w:t>
      </w:r>
      <w:r w:rsidR="00A73F4E">
        <w:rPr>
          <w:rFonts w:ascii="Arial" w:eastAsia="Century Gothic" w:hAnsi="Arial" w:cs="Arial"/>
        </w:rPr>
        <w:t xml:space="preserve"> del diverso </w:t>
      </w:r>
      <w:r w:rsidR="008A3456">
        <w:rPr>
          <w:rFonts w:ascii="Arial" w:eastAsia="Century Gothic" w:hAnsi="Arial" w:cs="Arial"/>
        </w:rPr>
        <w:t>147 del mismo ordenamiento.</w:t>
      </w:r>
    </w:p>
    <w:p w:rsidR="002D55C0" w:rsidRDefault="002D55C0" w:rsidP="008315FA">
      <w:pPr>
        <w:pStyle w:val="NormalWeb"/>
        <w:spacing w:before="0" w:beforeAutospacing="0" w:afterAutospacing="0" w:line="360" w:lineRule="auto"/>
        <w:ind w:left="-283" w:right="-283"/>
        <w:contextualSpacing/>
        <w:mirrorIndents/>
        <w:jc w:val="both"/>
        <w:rPr>
          <w:rFonts w:ascii="Arial" w:eastAsia="Century Gothic" w:hAnsi="Arial" w:cs="Arial"/>
        </w:rPr>
      </w:pPr>
    </w:p>
    <w:p w:rsidR="006A287A" w:rsidRDefault="006A287A" w:rsidP="002D55C0">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t xml:space="preserve">Dentro de </w:t>
      </w:r>
      <w:r w:rsidR="00E03ED5">
        <w:rPr>
          <w:rFonts w:ascii="Arial" w:eastAsia="Century Gothic" w:hAnsi="Arial" w:cs="Arial"/>
        </w:rPr>
        <w:t xml:space="preserve">este último </w:t>
      </w:r>
      <w:r>
        <w:rPr>
          <w:rFonts w:ascii="Arial" w:eastAsia="Century Gothic" w:hAnsi="Arial" w:cs="Arial"/>
        </w:rPr>
        <w:t>plazo</w:t>
      </w:r>
      <w:r w:rsidR="00E03ED5">
        <w:rPr>
          <w:rFonts w:ascii="Arial" w:eastAsia="Century Gothic" w:hAnsi="Arial" w:cs="Arial"/>
        </w:rPr>
        <w:t>,</w:t>
      </w:r>
      <w:r>
        <w:rPr>
          <w:rFonts w:ascii="Arial" w:eastAsia="Century Gothic" w:hAnsi="Arial" w:cs="Arial"/>
        </w:rPr>
        <w:t xml:space="preserve"> </w:t>
      </w:r>
      <w:r w:rsidR="00E03ED5">
        <w:rPr>
          <w:rFonts w:ascii="Arial" w:eastAsia="Century Gothic" w:hAnsi="Arial" w:cs="Arial"/>
        </w:rPr>
        <w:t xml:space="preserve">se puede generar una prevención </w:t>
      </w:r>
      <w:r>
        <w:rPr>
          <w:rFonts w:ascii="Arial" w:eastAsia="Century Gothic" w:hAnsi="Arial" w:cs="Arial"/>
        </w:rPr>
        <w:t>al partido político para subsanar omisiones y, con base en el cumplimiento de los requerimientos o no, determinar qu</w:t>
      </w:r>
      <w:r w:rsidR="005C2F4B">
        <w:rPr>
          <w:rFonts w:ascii="Arial" w:eastAsia="Century Gothic" w:hAnsi="Arial" w:cs="Arial"/>
        </w:rPr>
        <w:t>é</w:t>
      </w:r>
      <w:r>
        <w:rPr>
          <w:rFonts w:ascii="Arial" w:eastAsia="Century Gothic" w:hAnsi="Arial" w:cs="Arial"/>
        </w:rPr>
        <w:t xml:space="preserve"> solicitudes aprueba y cuáles no, </w:t>
      </w:r>
      <w:r w:rsidRPr="00E03ED5">
        <w:rPr>
          <w:rFonts w:ascii="Arial" w:eastAsia="Century Gothic" w:hAnsi="Arial" w:cs="Arial"/>
          <w:u w:val="single"/>
        </w:rPr>
        <w:t>sin que necesariamente tenga que existir identidad entre lo resuelto por el Consejo Nacional de MORENA y lo que finalmente aprueba el Instituto Estatal Electoral</w:t>
      </w:r>
      <w:r w:rsidR="00E03ED5" w:rsidRPr="00E03ED5">
        <w:rPr>
          <w:rFonts w:ascii="Arial" w:eastAsia="Century Gothic" w:hAnsi="Arial" w:cs="Arial"/>
          <w:u w:val="single"/>
        </w:rPr>
        <w:t>, por virtud, precisamente, a esa etapa de revisión de requisitos legales</w:t>
      </w:r>
      <w:r>
        <w:rPr>
          <w:rFonts w:ascii="Arial" w:eastAsia="Century Gothic" w:hAnsi="Arial" w:cs="Arial"/>
        </w:rPr>
        <w:t>.</w:t>
      </w:r>
    </w:p>
    <w:p w:rsidR="006A287A" w:rsidRDefault="006A287A" w:rsidP="002D55C0">
      <w:pPr>
        <w:pStyle w:val="NormalWeb"/>
        <w:spacing w:before="0" w:beforeAutospacing="0" w:afterAutospacing="0" w:line="360" w:lineRule="auto"/>
        <w:ind w:left="-283" w:right="-283"/>
        <w:contextualSpacing/>
        <w:mirrorIndents/>
        <w:jc w:val="both"/>
        <w:rPr>
          <w:rFonts w:ascii="Arial" w:eastAsia="Century Gothic" w:hAnsi="Arial" w:cs="Arial"/>
        </w:rPr>
      </w:pPr>
    </w:p>
    <w:p w:rsidR="002D55C0" w:rsidRDefault="002D55C0" w:rsidP="002D55C0">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t xml:space="preserve">En atención a todo lo anterior, si </w:t>
      </w:r>
      <w:r w:rsidR="00E03ED5">
        <w:rPr>
          <w:rFonts w:ascii="Arial" w:eastAsia="Century Gothic" w:hAnsi="Arial" w:cs="Arial"/>
        </w:rPr>
        <w:t xml:space="preserve">lo </w:t>
      </w:r>
      <w:r>
        <w:rPr>
          <w:rFonts w:ascii="Arial" w:eastAsia="Century Gothic" w:hAnsi="Arial" w:cs="Arial"/>
        </w:rPr>
        <w:t>reclamad</w:t>
      </w:r>
      <w:r w:rsidR="00E03ED5">
        <w:rPr>
          <w:rFonts w:ascii="Arial" w:eastAsia="Century Gothic" w:hAnsi="Arial" w:cs="Arial"/>
        </w:rPr>
        <w:t>o</w:t>
      </w:r>
      <w:r>
        <w:rPr>
          <w:rFonts w:ascii="Arial" w:eastAsia="Century Gothic" w:hAnsi="Arial" w:cs="Arial"/>
        </w:rPr>
        <w:t xml:space="preserve"> en este juicio es la omisión del registro de </w:t>
      </w:r>
      <w:r w:rsidR="006A287A">
        <w:rPr>
          <w:rFonts w:ascii="Arial" w:eastAsia="Century Gothic" w:hAnsi="Arial" w:cs="Arial"/>
        </w:rPr>
        <w:t>las</w:t>
      </w:r>
      <w:r>
        <w:rPr>
          <w:rFonts w:ascii="Arial" w:eastAsia="Century Gothic" w:hAnsi="Arial" w:cs="Arial"/>
        </w:rPr>
        <w:t xml:space="preserve"> candidaturas </w:t>
      </w:r>
      <w:r w:rsidR="006A287A">
        <w:rPr>
          <w:rFonts w:ascii="Arial" w:eastAsia="Century Gothic" w:hAnsi="Arial" w:cs="Arial"/>
        </w:rPr>
        <w:t xml:space="preserve">de los actores </w:t>
      </w:r>
      <w:r>
        <w:rPr>
          <w:rFonts w:ascii="Arial" w:eastAsia="Century Gothic" w:hAnsi="Arial" w:cs="Arial"/>
        </w:rPr>
        <w:t xml:space="preserve">con base en el dictamen de </w:t>
      </w:r>
      <w:r w:rsidR="00E03ED5">
        <w:rPr>
          <w:rFonts w:ascii="Arial" w:eastAsia="Century Gothic" w:hAnsi="Arial" w:cs="Arial"/>
        </w:rPr>
        <w:t xml:space="preserve">cinco </w:t>
      </w:r>
      <w:r>
        <w:rPr>
          <w:rFonts w:ascii="Arial" w:eastAsia="Century Gothic" w:hAnsi="Arial" w:cs="Arial"/>
        </w:rPr>
        <w:t>de abril,</w:t>
      </w:r>
      <w:r w:rsidR="006A287A">
        <w:rPr>
          <w:rFonts w:ascii="Arial" w:eastAsia="Century Gothic" w:hAnsi="Arial" w:cs="Arial"/>
        </w:rPr>
        <w:t xml:space="preserve"> por parte de las autoridades </w:t>
      </w:r>
      <w:proofErr w:type="spellStart"/>
      <w:r w:rsidR="006A287A">
        <w:rPr>
          <w:rFonts w:ascii="Arial" w:eastAsia="Century Gothic" w:hAnsi="Arial" w:cs="Arial"/>
        </w:rPr>
        <w:t>intrapartidistas</w:t>
      </w:r>
      <w:proofErr w:type="spellEnd"/>
      <w:r w:rsidR="006A287A">
        <w:rPr>
          <w:rFonts w:ascii="Arial" w:eastAsia="Century Gothic" w:hAnsi="Arial" w:cs="Arial"/>
        </w:rPr>
        <w:t xml:space="preserve"> de MORENA</w:t>
      </w:r>
      <w:r w:rsidR="00E03ED5">
        <w:rPr>
          <w:rFonts w:ascii="Arial" w:eastAsia="Century Gothic" w:hAnsi="Arial" w:cs="Arial"/>
        </w:rPr>
        <w:t>, luego</w:t>
      </w:r>
      <w:r w:rsidR="006A287A">
        <w:rPr>
          <w:rFonts w:ascii="Arial" w:eastAsia="Century Gothic" w:hAnsi="Arial" w:cs="Arial"/>
        </w:rPr>
        <w:t>, no es posible entrar al estudio de</w:t>
      </w:r>
      <w:r>
        <w:rPr>
          <w:rFonts w:ascii="Arial" w:eastAsia="Century Gothic" w:hAnsi="Arial" w:cs="Arial"/>
        </w:rPr>
        <w:t xml:space="preserve"> </w:t>
      </w:r>
      <w:r w:rsidR="006A287A">
        <w:rPr>
          <w:rFonts w:ascii="Arial" w:eastAsia="Century Gothic" w:hAnsi="Arial" w:cs="Arial"/>
        </w:rPr>
        <w:t xml:space="preserve">un </w:t>
      </w:r>
      <w:r w:rsidR="00E03ED5">
        <w:rPr>
          <w:rFonts w:ascii="Arial" w:eastAsia="Century Gothic" w:hAnsi="Arial" w:cs="Arial"/>
        </w:rPr>
        <w:t xml:space="preserve">diverso </w:t>
      </w:r>
      <w:r w:rsidR="006A287A">
        <w:rPr>
          <w:rFonts w:ascii="Arial" w:eastAsia="Century Gothic" w:hAnsi="Arial" w:cs="Arial"/>
        </w:rPr>
        <w:t xml:space="preserve">acto emitido por </w:t>
      </w:r>
      <w:r w:rsidR="00E03ED5">
        <w:rPr>
          <w:rFonts w:ascii="Arial" w:eastAsia="Century Gothic" w:hAnsi="Arial" w:cs="Arial"/>
        </w:rPr>
        <w:t xml:space="preserve">otra </w:t>
      </w:r>
      <w:r w:rsidR="006A287A">
        <w:rPr>
          <w:rFonts w:ascii="Arial" w:eastAsia="Century Gothic" w:hAnsi="Arial" w:cs="Arial"/>
        </w:rPr>
        <w:t>autoridad</w:t>
      </w:r>
      <w:r w:rsidR="00E03ED5">
        <w:rPr>
          <w:rFonts w:ascii="Arial" w:eastAsia="Century Gothic" w:hAnsi="Arial" w:cs="Arial"/>
        </w:rPr>
        <w:t>,</w:t>
      </w:r>
      <w:r w:rsidR="006A287A">
        <w:rPr>
          <w:rFonts w:ascii="Arial" w:eastAsia="Century Gothic" w:hAnsi="Arial" w:cs="Arial"/>
        </w:rPr>
        <w:t xml:space="preserve"> y relativo a un proceso </w:t>
      </w:r>
      <w:r w:rsidR="00E03ED5">
        <w:rPr>
          <w:rFonts w:ascii="Arial" w:eastAsia="Century Gothic" w:hAnsi="Arial" w:cs="Arial"/>
        </w:rPr>
        <w:t xml:space="preserve">distinto </w:t>
      </w:r>
      <w:r w:rsidR="006A287A">
        <w:rPr>
          <w:rFonts w:ascii="Arial" w:eastAsia="Century Gothic" w:hAnsi="Arial" w:cs="Arial"/>
        </w:rPr>
        <w:t>al interno de selección de candidaturas</w:t>
      </w:r>
      <w:r w:rsidR="008441D4">
        <w:rPr>
          <w:rFonts w:ascii="Arial" w:eastAsia="Century Gothic" w:hAnsi="Arial" w:cs="Arial"/>
        </w:rPr>
        <w:t>, porque sería prejuzgar</w:t>
      </w:r>
      <w:r w:rsidR="006A287A">
        <w:rPr>
          <w:rFonts w:ascii="Arial" w:eastAsia="Century Gothic" w:hAnsi="Arial" w:cs="Arial"/>
        </w:rPr>
        <w:t xml:space="preserve">. </w:t>
      </w:r>
    </w:p>
    <w:p w:rsidR="00384985" w:rsidRDefault="00384985" w:rsidP="00384985">
      <w:pPr>
        <w:pStyle w:val="NormalWeb"/>
        <w:spacing w:before="0" w:beforeAutospacing="0" w:afterAutospacing="0" w:line="360" w:lineRule="auto"/>
        <w:ind w:left="-283" w:right="-283"/>
        <w:contextualSpacing/>
        <w:mirrorIndents/>
        <w:jc w:val="both"/>
        <w:rPr>
          <w:rFonts w:ascii="Arial" w:hAnsi="Arial" w:cs="Arial"/>
        </w:rPr>
      </w:pPr>
    </w:p>
    <w:p w:rsidR="00384985" w:rsidRDefault="00BD6AEF" w:rsidP="00384985">
      <w:pPr>
        <w:pStyle w:val="NormalWeb"/>
        <w:spacing w:before="0" w:beforeAutospacing="0" w:afterAutospacing="0" w:line="360" w:lineRule="auto"/>
        <w:ind w:left="-283" w:right="-283"/>
        <w:contextualSpacing/>
        <w:mirrorIndents/>
        <w:jc w:val="both"/>
        <w:rPr>
          <w:rFonts w:ascii="Arial" w:hAnsi="Arial" w:cs="Arial"/>
        </w:rPr>
      </w:pPr>
      <w:r>
        <w:rPr>
          <w:rFonts w:ascii="Arial" w:eastAsia="Century Gothic" w:hAnsi="Arial" w:cs="Arial"/>
          <w:b/>
        </w:rPr>
        <w:t xml:space="preserve">           - </w:t>
      </w:r>
      <w:r w:rsidR="005573C1">
        <w:rPr>
          <w:rFonts w:ascii="Arial" w:eastAsia="Century Gothic" w:hAnsi="Arial" w:cs="Arial"/>
          <w:b/>
        </w:rPr>
        <w:t>No se violenta el derecho de petición ni se configura negativa ficta.</w:t>
      </w:r>
    </w:p>
    <w:p w:rsidR="00384985" w:rsidRDefault="00384985" w:rsidP="00384985">
      <w:pPr>
        <w:pStyle w:val="NormalWeb"/>
        <w:spacing w:before="0" w:beforeAutospacing="0" w:afterAutospacing="0" w:line="360" w:lineRule="auto"/>
        <w:ind w:left="-283" w:right="-283"/>
        <w:contextualSpacing/>
        <w:mirrorIndents/>
        <w:jc w:val="both"/>
        <w:rPr>
          <w:rFonts w:ascii="Arial" w:hAnsi="Arial" w:cs="Arial"/>
        </w:rPr>
      </w:pPr>
    </w:p>
    <w:p w:rsidR="00BD6AEF" w:rsidRDefault="009F4096" w:rsidP="009F2B6A">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eastAsia="Century Gothic" w:hAnsi="Arial" w:cs="Arial"/>
        </w:rPr>
        <w:t xml:space="preserve">No obstante lo resuelto en el punto anterior, </w:t>
      </w:r>
      <w:r w:rsidR="009F2B6A">
        <w:rPr>
          <w:rFonts w:ascii="Arial" w:eastAsia="Century Gothic" w:hAnsi="Arial" w:cs="Arial"/>
        </w:rPr>
        <w:t xml:space="preserve">este Tribunal considera </w:t>
      </w:r>
      <w:r>
        <w:rPr>
          <w:rFonts w:ascii="Arial" w:eastAsia="Century Gothic" w:hAnsi="Arial" w:cs="Arial"/>
        </w:rPr>
        <w:t xml:space="preserve">pertinente </w:t>
      </w:r>
      <w:r w:rsidR="00384985">
        <w:rPr>
          <w:rFonts w:ascii="Arial" w:eastAsia="Century Gothic" w:hAnsi="Arial" w:cs="Arial"/>
        </w:rPr>
        <w:t xml:space="preserve">precisar que si bien de autos no se desprende que las responsables dieron respuesta a los escritos que presentaron los actores el diez de abril, ello no </w:t>
      </w:r>
      <w:r>
        <w:rPr>
          <w:rFonts w:ascii="Arial" w:eastAsia="Century Gothic" w:hAnsi="Arial" w:cs="Arial"/>
        </w:rPr>
        <w:t xml:space="preserve">configura la violación al derecho de petición, porque, como se </w:t>
      </w:r>
      <w:r w:rsidR="007C5000">
        <w:rPr>
          <w:rFonts w:ascii="Arial" w:eastAsia="Century Gothic" w:hAnsi="Arial" w:cs="Arial"/>
        </w:rPr>
        <w:t>advierte</w:t>
      </w:r>
      <w:r>
        <w:rPr>
          <w:rFonts w:ascii="Arial" w:eastAsia="Century Gothic" w:hAnsi="Arial" w:cs="Arial"/>
        </w:rPr>
        <w:t xml:space="preserve"> de autos -específicamente de lo re</w:t>
      </w:r>
      <w:r w:rsidR="00057F9D">
        <w:rPr>
          <w:rFonts w:ascii="Arial" w:eastAsia="Century Gothic" w:hAnsi="Arial" w:cs="Arial"/>
        </w:rPr>
        <w:t>f</w:t>
      </w:r>
      <w:r>
        <w:rPr>
          <w:rFonts w:ascii="Arial" w:eastAsia="Century Gothic" w:hAnsi="Arial" w:cs="Arial"/>
        </w:rPr>
        <w:t xml:space="preserve">erido en las demandas y del contenido de las documentales ofrecidas como prueba por los actores, consistentes en los acuses de recibido de tales escritos por parte del personal de MORENA y de la fe de hechos levantada por el Notario Público </w:t>
      </w:r>
      <w:r w:rsidR="00057F9D">
        <w:rPr>
          <w:rFonts w:ascii="Arial" w:eastAsia="Century Gothic" w:hAnsi="Arial" w:cs="Arial"/>
        </w:rPr>
        <w:t>número 3 del Estado</w:t>
      </w:r>
      <w:r w:rsidR="00384985">
        <w:rPr>
          <w:rFonts w:ascii="Arial" w:eastAsia="Century Gothic" w:hAnsi="Arial" w:cs="Arial"/>
        </w:rPr>
        <w:t>-</w:t>
      </w:r>
      <w:r w:rsidR="00384985">
        <w:rPr>
          <w:rStyle w:val="Refdenotaalpie"/>
          <w:rFonts w:ascii="Arial" w:eastAsia="Century Gothic" w:hAnsi="Arial" w:cs="Arial"/>
        </w:rPr>
        <w:footnoteReference w:id="13"/>
      </w:r>
      <w:r>
        <w:rPr>
          <w:rFonts w:ascii="Arial" w:eastAsia="Century Gothic" w:hAnsi="Arial" w:cs="Arial"/>
        </w:rPr>
        <w:t>, se desprende que los juicios ciudadanos fueron presentados el mismo día que las peticiones, es decir, el diez de abril</w:t>
      </w:r>
      <w:r w:rsidR="00BD6AEF">
        <w:rPr>
          <w:rFonts w:ascii="Arial" w:eastAsia="Century Gothic" w:hAnsi="Arial" w:cs="Arial"/>
        </w:rPr>
        <w:t xml:space="preserve">. </w:t>
      </w:r>
    </w:p>
    <w:p w:rsidR="00816F8E" w:rsidRDefault="00816F8E" w:rsidP="009F2B6A">
      <w:pPr>
        <w:pStyle w:val="NormalWeb"/>
        <w:spacing w:before="0" w:beforeAutospacing="0" w:afterAutospacing="0" w:line="360" w:lineRule="auto"/>
        <w:ind w:left="-283" w:right="-283"/>
        <w:contextualSpacing/>
        <w:mirrorIndents/>
        <w:jc w:val="both"/>
        <w:rPr>
          <w:rFonts w:ascii="Arial" w:eastAsia="Century Gothic" w:hAnsi="Arial" w:cs="Arial"/>
        </w:rPr>
      </w:pPr>
    </w:p>
    <w:p w:rsidR="00384985" w:rsidRDefault="00BD6AEF" w:rsidP="009F2B6A">
      <w:pPr>
        <w:pStyle w:val="NormalWeb"/>
        <w:spacing w:before="0" w:beforeAutospacing="0" w:afterAutospacing="0" w:line="360" w:lineRule="auto"/>
        <w:ind w:left="-283" w:right="-283"/>
        <w:contextualSpacing/>
        <w:mirrorIndents/>
        <w:jc w:val="both"/>
        <w:rPr>
          <w:rFonts w:ascii="Arial" w:hAnsi="Arial" w:cs="Arial"/>
        </w:rPr>
      </w:pPr>
      <w:r>
        <w:rPr>
          <w:rFonts w:ascii="Arial" w:eastAsia="Century Gothic" w:hAnsi="Arial" w:cs="Arial"/>
        </w:rPr>
        <w:lastRenderedPageBreak/>
        <w:t>En tal orden</w:t>
      </w:r>
      <w:r w:rsidR="009F4096">
        <w:rPr>
          <w:rFonts w:ascii="Arial" w:eastAsia="Century Gothic" w:hAnsi="Arial" w:cs="Arial"/>
        </w:rPr>
        <w:t xml:space="preserve">, </w:t>
      </w:r>
      <w:r w:rsidR="00057F9D">
        <w:rPr>
          <w:rFonts w:ascii="Arial" w:eastAsia="Century Gothic" w:hAnsi="Arial" w:cs="Arial"/>
        </w:rPr>
        <w:t xml:space="preserve">el hecho de no haber dado respuesta en esa misma </w:t>
      </w:r>
      <w:r w:rsidR="009F4096">
        <w:rPr>
          <w:rFonts w:ascii="Arial" w:eastAsia="Century Gothic" w:hAnsi="Arial" w:cs="Arial"/>
        </w:rPr>
        <w:t>data, no evidencia un incumplimiento por parte de la autoridad en dar una respuesta, ya que si bien el artículo 8</w:t>
      </w:r>
      <w:r w:rsidR="007C5000">
        <w:rPr>
          <w:rFonts w:ascii="Arial" w:eastAsia="Century Gothic" w:hAnsi="Arial" w:cs="Arial"/>
        </w:rPr>
        <w:t>°</w:t>
      </w:r>
      <w:r w:rsidR="009F4096">
        <w:rPr>
          <w:rFonts w:ascii="Arial" w:eastAsia="Century Gothic" w:hAnsi="Arial" w:cs="Arial"/>
        </w:rPr>
        <w:t xml:space="preserve"> Constitucional establece que a toda petición debe recaer una contestación por parte de la autoridad, cierto es que </w:t>
      </w:r>
      <w:r w:rsidR="00D30A8F">
        <w:rPr>
          <w:rFonts w:ascii="Arial" w:eastAsia="Century Gothic" w:hAnsi="Arial" w:cs="Arial"/>
        </w:rPr>
        <w:t>se han emitido diversos criterios jurisprudenciales en el sentido de que ello debe ser dentro de un plazo breve pero razonable.</w:t>
      </w:r>
    </w:p>
    <w:p w:rsidR="00384985" w:rsidRDefault="00384985" w:rsidP="00384985">
      <w:pPr>
        <w:pStyle w:val="NormalWeb"/>
        <w:spacing w:before="0" w:beforeAutospacing="0" w:afterAutospacing="0" w:line="360" w:lineRule="auto"/>
        <w:ind w:left="-283" w:right="-283"/>
        <w:contextualSpacing/>
        <w:mirrorIndents/>
        <w:jc w:val="both"/>
        <w:rPr>
          <w:rFonts w:ascii="Arial" w:hAnsi="Arial" w:cs="Arial"/>
        </w:rPr>
      </w:pPr>
    </w:p>
    <w:p w:rsidR="009F2B6A" w:rsidRDefault="00D30A8F" w:rsidP="009F2B6A">
      <w:pPr>
        <w:pStyle w:val="NormalWeb"/>
        <w:spacing w:before="0" w:beforeAutospacing="0" w:afterAutospacing="0" w:line="360" w:lineRule="auto"/>
        <w:ind w:left="-283" w:right="-283"/>
        <w:contextualSpacing/>
        <w:mirrorIndents/>
        <w:jc w:val="both"/>
        <w:rPr>
          <w:rFonts w:ascii="Arial" w:hAnsi="Arial" w:cs="Arial"/>
        </w:rPr>
      </w:pPr>
      <w:r w:rsidRPr="00057F9D">
        <w:rPr>
          <w:rFonts w:ascii="Arial" w:eastAsia="Century Gothic" w:hAnsi="Arial" w:cs="Arial"/>
        </w:rPr>
        <w:t xml:space="preserve">Tal es el caso de la jurisprudencia </w:t>
      </w:r>
      <w:r w:rsidR="00057F9D" w:rsidRPr="00057F9D">
        <w:rPr>
          <w:rFonts w:ascii="Arial" w:eastAsia="Century Gothic" w:hAnsi="Arial" w:cs="Arial"/>
        </w:rPr>
        <w:t xml:space="preserve">de rubro: </w:t>
      </w:r>
      <w:r w:rsidR="00057F9D">
        <w:rPr>
          <w:rFonts w:ascii="Arial" w:eastAsia="Century Gothic" w:hAnsi="Arial" w:cs="Arial"/>
        </w:rPr>
        <w:t>“</w:t>
      </w:r>
      <w:r w:rsidR="00057F9D" w:rsidRPr="00057F9D">
        <w:rPr>
          <w:rFonts w:ascii="Arial" w:hAnsi="Arial" w:cs="Arial"/>
          <w:b/>
        </w:rPr>
        <w:t>DERECHO DE PETICIÓN. SUS ELEMENTOS</w:t>
      </w:r>
      <w:r w:rsidR="00057F9D">
        <w:rPr>
          <w:rStyle w:val="Refdenotaalpie"/>
          <w:rFonts w:ascii="Arial" w:hAnsi="Arial" w:cs="Arial"/>
          <w:b/>
        </w:rPr>
        <w:footnoteReference w:id="14"/>
      </w:r>
      <w:r w:rsidR="00057F9D">
        <w:rPr>
          <w:rFonts w:ascii="Arial" w:hAnsi="Arial" w:cs="Arial"/>
          <w:b/>
        </w:rPr>
        <w:t xml:space="preserve">” </w:t>
      </w:r>
      <w:r w:rsidR="00057F9D">
        <w:rPr>
          <w:rFonts w:ascii="Arial" w:hAnsi="Arial" w:cs="Arial"/>
        </w:rPr>
        <w:t xml:space="preserve">en la que se ha establecido </w:t>
      </w:r>
      <w:r w:rsidR="009F246B">
        <w:rPr>
          <w:rFonts w:ascii="Arial" w:hAnsi="Arial" w:cs="Arial"/>
        </w:rPr>
        <w:t xml:space="preserve">que </w:t>
      </w:r>
      <w:r w:rsidR="00057F9D">
        <w:rPr>
          <w:rFonts w:ascii="Arial" w:hAnsi="Arial" w:cs="Arial"/>
        </w:rPr>
        <w:t xml:space="preserve">el breve término debe entenderse como aquél </w:t>
      </w:r>
      <w:r w:rsidR="00057F9D" w:rsidRPr="003643B9">
        <w:rPr>
          <w:rFonts w:ascii="Arial" w:hAnsi="Arial" w:cs="Arial"/>
        </w:rPr>
        <w:t>que racionalmente se requiera para estudiar la petición y acordarla</w:t>
      </w:r>
      <w:r w:rsidR="00057F9D">
        <w:rPr>
          <w:rFonts w:ascii="Arial" w:hAnsi="Arial" w:cs="Arial"/>
        </w:rPr>
        <w:t>.</w:t>
      </w:r>
    </w:p>
    <w:p w:rsidR="009F246B" w:rsidRDefault="009F246B" w:rsidP="009F2B6A">
      <w:pPr>
        <w:pStyle w:val="NormalWeb"/>
        <w:spacing w:before="0" w:beforeAutospacing="0" w:afterAutospacing="0" w:line="360" w:lineRule="auto"/>
        <w:ind w:left="-283" w:right="-283"/>
        <w:contextualSpacing/>
        <w:mirrorIndents/>
        <w:jc w:val="both"/>
        <w:rPr>
          <w:rFonts w:ascii="Arial" w:hAnsi="Arial" w:cs="Arial"/>
        </w:rPr>
      </w:pPr>
    </w:p>
    <w:p w:rsidR="009F246B" w:rsidRDefault="00057F9D" w:rsidP="009F246B">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 xml:space="preserve">Sin embargo, si la petición se presentó a las trece horas con cinco minutos del diez de abril (según se desprende de la fe de hechos notaria y de los escritos anexados a las demandas) y los juicios ciudadanos se presentaron ante este Tribunal ese mismo día </w:t>
      </w:r>
      <w:r w:rsidR="009F246B">
        <w:rPr>
          <w:rFonts w:ascii="Arial" w:hAnsi="Arial" w:cs="Arial"/>
        </w:rPr>
        <w:t xml:space="preserve">entre las 23:35 y las 23:50 </w:t>
      </w:r>
      <w:r>
        <w:rPr>
          <w:rFonts w:ascii="Arial" w:hAnsi="Arial" w:cs="Arial"/>
        </w:rPr>
        <w:t>horas, según se desprende de la constancia de recepción levantada por el auxiliar de la oficialía de partes</w:t>
      </w:r>
      <w:r w:rsidR="009F246B">
        <w:rPr>
          <w:rFonts w:ascii="Arial" w:hAnsi="Arial" w:cs="Arial"/>
        </w:rPr>
        <w:t xml:space="preserve"> en cada una de las demandas</w:t>
      </w:r>
      <w:r>
        <w:rPr>
          <w:rFonts w:ascii="Arial" w:hAnsi="Arial" w:cs="Arial"/>
        </w:rPr>
        <w:t xml:space="preserve">, es inconcuso que no habían transcurrido </w:t>
      </w:r>
      <w:r w:rsidR="009F246B">
        <w:rPr>
          <w:rFonts w:ascii="Arial" w:hAnsi="Arial" w:cs="Arial"/>
        </w:rPr>
        <w:t xml:space="preserve">ni veinticuatro horas de su presentación, por tanto no es dable concluir que tuvo </w:t>
      </w:r>
      <w:r>
        <w:rPr>
          <w:rFonts w:ascii="Arial" w:hAnsi="Arial" w:cs="Arial"/>
        </w:rPr>
        <w:t>un tiempo razonable para estudiar y acordar las peticiones</w:t>
      </w:r>
      <w:r w:rsidR="009F246B">
        <w:rPr>
          <w:rFonts w:ascii="Arial" w:hAnsi="Arial" w:cs="Arial"/>
        </w:rPr>
        <w:t>, no obstante la proximidad del vencimiento del plazo para el registro de candidaturas, que sería a las 23:59 horas del once de abril.</w:t>
      </w:r>
    </w:p>
    <w:p w:rsidR="009F246B" w:rsidRDefault="009F246B" w:rsidP="009F246B">
      <w:pPr>
        <w:pStyle w:val="NormalWeb"/>
        <w:spacing w:before="0" w:beforeAutospacing="0" w:afterAutospacing="0" w:line="360" w:lineRule="auto"/>
        <w:ind w:left="-283" w:right="-283"/>
        <w:contextualSpacing/>
        <w:mirrorIndents/>
        <w:jc w:val="both"/>
        <w:rPr>
          <w:rFonts w:ascii="Arial" w:hAnsi="Arial" w:cs="Arial"/>
        </w:rPr>
      </w:pPr>
    </w:p>
    <w:p w:rsidR="009F246B" w:rsidRDefault="00262A4E" w:rsidP="009F246B">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Por lo que resulta</w:t>
      </w:r>
      <w:r w:rsidR="009F246B">
        <w:rPr>
          <w:rFonts w:ascii="Arial" w:hAnsi="Arial" w:cs="Arial"/>
        </w:rPr>
        <w:t>ría</w:t>
      </w:r>
      <w:r>
        <w:rPr>
          <w:rFonts w:ascii="Arial" w:hAnsi="Arial" w:cs="Arial"/>
        </w:rPr>
        <w:t xml:space="preserve"> </w:t>
      </w:r>
      <w:r w:rsidR="00D33334">
        <w:rPr>
          <w:rFonts w:ascii="Arial" w:hAnsi="Arial" w:cs="Arial"/>
        </w:rPr>
        <w:t xml:space="preserve">una exigencia </w:t>
      </w:r>
      <w:r w:rsidR="009F246B">
        <w:rPr>
          <w:rFonts w:ascii="Arial" w:hAnsi="Arial" w:cs="Arial"/>
        </w:rPr>
        <w:t xml:space="preserve">desproporcionada, </w:t>
      </w:r>
      <w:r w:rsidR="008A029D">
        <w:rPr>
          <w:rFonts w:ascii="Arial" w:hAnsi="Arial" w:cs="Arial"/>
        </w:rPr>
        <w:t>inquirir</w:t>
      </w:r>
      <w:r w:rsidR="009F246B">
        <w:rPr>
          <w:rFonts w:ascii="Arial" w:hAnsi="Arial" w:cs="Arial"/>
        </w:rPr>
        <w:t xml:space="preserve"> </w:t>
      </w:r>
      <w:r>
        <w:rPr>
          <w:rFonts w:ascii="Arial" w:hAnsi="Arial" w:cs="Arial"/>
        </w:rPr>
        <w:t>una respuesta para cada uno de los actores a solo unas horas de haber sido presentados sus escritos.</w:t>
      </w:r>
    </w:p>
    <w:p w:rsidR="009F246B" w:rsidRDefault="009F246B" w:rsidP="009F246B">
      <w:pPr>
        <w:pStyle w:val="NormalWeb"/>
        <w:spacing w:before="0" w:beforeAutospacing="0" w:afterAutospacing="0" w:line="360" w:lineRule="auto"/>
        <w:ind w:left="-283" w:right="-283"/>
        <w:contextualSpacing/>
        <w:mirrorIndents/>
        <w:jc w:val="both"/>
        <w:rPr>
          <w:rFonts w:ascii="Arial" w:hAnsi="Arial" w:cs="Arial"/>
        </w:rPr>
      </w:pPr>
    </w:p>
    <w:p w:rsidR="009F246B" w:rsidRDefault="00BD6AEF" w:rsidP="009F246B">
      <w:pPr>
        <w:pStyle w:val="NormalWeb"/>
        <w:spacing w:before="0" w:beforeAutospacing="0" w:afterAutospacing="0" w:line="360" w:lineRule="auto"/>
        <w:ind w:left="-283" w:right="-283"/>
        <w:contextualSpacing/>
        <w:mirrorIndents/>
        <w:jc w:val="both"/>
        <w:rPr>
          <w:rFonts w:ascii="Arial" w:hAnsi="Arial" w:cs="Arial"/>
        </w:rPr>
      </w:pPr>
      <w:r>
        <w:rPr>
          <w:rFonts w:ascii="Arial" w:eastAsia="Century Gothic" w:hAnsi="Arial" w:cs="Arial"/>
        </w:rPr>
        <w:t>Además</w:t>
      </w:r>
      <w:r w:rsidR="00BD25FD">
        <w:rPr>
          <w:rFonts w:ascii="Arial" w:eastAsia="Century Gothic" w:hAnsi="Arial" w:cs="Arial"/>
        </w:rPr>
        <w:t xml:space="preserve">, es preciso referir que contrario a lo que aducen los actores, la falta de respuesta al escrito presentado por los actores, no </w:t>
      </w:r>
      <w:r w:rsidR="00D93591">
        <w:rPr>
          <w:rFonts w:ascii="Arial" w:eastAsia="Century Gothic" w:hAnsi="Arial" w:cs="Arial"/>
        </w:rPr>
        <w:t xml:space="preserve">configura una </w:t>
      </w:r>
      <w:r w:rsidR="00BC580F">
        <w:rPr>
          <w:rFonts w:ascii="Arial" w:eastAsia="Century Gothic" w:hAnsi="Arial" w:cs="Arial"/>
        </w:rPr>
        <w:t>negativa ficta</w:t>
      </w:r>
      <w:r w:rsidR="00BD25FD">
        <w:rPr>
          <w:rFonts w:ascii="Arial" w:eastAsia="Century Gothic" w:hAnsi="Arial" w:cs="Arial"/>
        </w:rPr>
        <w:t xml:space="preserve">, </w:t>
      </w:r>
      <w:r w:rsidR="00BD25FD" w:rsidRPr="00BD25FD">
        <w:rPr>
          <w:rFonts w:ascii="Arial" w:hAnsi="Arial" w:cs="Arial"/>
          <w:color w:val="000000"/>
        </w:rPr>
        <w:t xml:space="preserve">toda vez </w:t>
      </w:r>
      <w:proofErr w:type="gramStart"/>
      <w:r w:rsidR="00BD25FD" w:rsidRPr="00BD25FD">
        <w:rPr>
          <w:rFonts w:ascii="Arial" w:hAnsi="Arial" w:cs="Arial"/>
          <w:color w:val="000000"/>
        </w:rPr>
        <w:t>que</w:t>
      </w:r>
      <w:proofErr w:type="gramEnd"/>
      <w:r w:rsidR="00BD25FD" w:rsidRPr="00BD25FD">
        <w:rPr>
          <w:rFonts w:ascii="Arial" w:hAnsi="Arial" w:cs="Arial"/>
          <w:color w:val="000000"/>
        </w:rPr>
        <w:t xml:space="preserve"> en </w:t>
      </w:r>
      <w:r w:rsidR="00BD25FD">
        <w:rPr>
          <w:rFonts w:ascii="Arial" w:hAnsi="Arial" w:cs="Arial"/>
          <w:color w:val="000000"/>
        </w:rPr>
        <w:t>el Código Electoral</w:t>
      </w:r>
      <w:r w:rsidR="00BD25FD" w:rsidRPr="00BD25FD">
        <w:rPr>
          <w:rFonts w:ascii="Arial" w:hAnsi="Arial" w:cs="Arial"/>
          <w:color w:val="000000"/>
        </w:rPr>
        <w:t xml:space="preserve">, no se prevé </w:t>
      </w:r>
      <w:r w:rsidR="009F246B">
        <w:rPr>
          <w:rFonts w:ascii="Arial" w:hAnsi="Arial" w:cs="Arial"/>
          <w:color w:val="000000"/>
        </w:rPr>
        <w:t xml:space="preserve">tal figura </w:t>
      </w:r>
      <w:r w:rsidR="00BD25FD" w:rsidRPr="00BD25FD">
        <w:rPr>
          <w:rFonts w:ascii="Arial" w:hAnsi="Arial" w:cs="Arial"/>
          <w:color w:val="000000"/>
        </w:rPr>
        <w:t>ante la omisión de una autoridad electoral para dar respuesta a algún trámite determinado,</w:t>
      </w:r>
      <w:r w:rsidR="00BD25FD">
        <w:rPr>
          <w:rFonts w:ascii="Arial" w:hAnsi="Arial" w:cs="Arial"/>
          <w:color w:val="000000"/>
        </w:rPr>
        <w:t xml:space="preserve"> ni del </w:t>
      </w:r>
      <w:r>
        <w:rPr>
          <w:rFonts w:ascii="Arial" w:hAnsi="Arial" w:cs="Arial"/>
          <w:color w:val="000000"/>
        </w:rPr>
        <w:t>procedimiento</w:t>
      </w:r>
      <w:r w:rsidR="00BD25FD">
        <w:rPr>
          <w:rFonts w:ascii="Arial" w:hAnsi="Arial" w:cs="Arial"/>
          <w:color w:val="000000"/>
        </w:rPr>
        <w:t xml:space="preserve"> relativo al registro de candidaturas</w:t>
      </w:r>
      <w:r w:rsidR="00BD25FD" w:rsidRPr="00BD25FD">
        <w:rPr>
          <w:rFonts w:ascii="Arial" w:hAnsi="Arial" w:cs="Arial"/>
          <w:color w:val="000000"/>
        </w:rPr>
        <w:t xml:space="preserve"> </w:t>
      </w:r>
      <w:r w:rsidR="00810D42">
        <w:rPr>
          <w:rFonts w:ascii="Arial" w:hAnsi="Arial" w:cs="Arial"/>
          <w:color w:val="000000"/>
        </w:rPr>
        <w:t>por parte de los partidos políticos</w:t>
      </w:r>
      <w:r w:rsidR="00037E09">
        <w:rPr>
          <w:rFonts w:ascii="Arial" w:hAnsi="Arial" w:cs="Arial"/>
          <w:color w:val="000000"/>
        </w:rPr>
        <w:t>.</w:t>
      </w:r>
    </w:p>
    <w:p w:rsidR="009F246B" w:rsidRDefault="009F246B" w:rsidP="009F246B">
      <w:pPr>
        <w:pStyle w:val="NormalWeb"/>
        <w:spacing w:before="0" w:beforeAutospacing="0" w:afterAutospacing="0" w:line="360" w:lineRule="auto"/>
        <w:ind w:left="-283" w:right="-283"/>
        <w:contextualSpacing/>
        <w:mirrorIndents/>
        <w:jc w:val="both"/>
        <w:rPr>
          <w:rFonts w:ascii="Arial" w:hAnsi="Arial" w:cs="Arial"/>
        </w:rPr>
      </w:pPr>
    </w:p>
    <w:p w:rsidR="009F246B" w:rsidRDefault="00BD6AEF" w:rsidP="009F246B">
      <w:pPr>
        <w:pStyle w:val="NormalWeb"/>
        <w:spacing w:before="0" w:beforeAutospacing="0" w:afterAutospacing="0" w:line="360" w:lineRule="auto"/>
        <w:ind w:left="-283" w:right="-283"/>
        <w:contextualSpacing/>
        <w:mirrorIndents/>
        <w:jc w:val="both"/>
        <w:rPr>
          <w:rFonts w:ascii="Arial" w:hAnsi="Arial" w:cs="Arial"/>
        </w:rPr>
      </w:pPr>
      <w:r>
        <w:rPr>
          <w:rFonts w:ascii="Arial" w:eastAsia="Century Gothic" w:hAnsi="Arial" w:cs="Arial"/>
        </w:rPr>
        <w:t>Sobre el tema</w:t>
      </w:r>
      <w:r w:rsidR="00810D42">
        <w:rPr>
          <w:rFonts w:ascii="Arial" w:eastAsia="Century Gothic" w:hAnsi="Arial" w:cs="Arial"/>
        </w:rPr>
        <w:t xml:space="preserve">, la Sala Superior emitió la Jurisprudencia de rubro: </w:t>
      </w:r>
      <w:r w:rsidR="00810D42" w:rsidRPr="00810D42">
        <w:rPr>
          <w:rFonts w:ascii="Arial" w:eastAsia="Century Gothic" w:hAnsi="Arial" w:cs="Arial"/>
          <w:b/>
        </w:rPr>
        <w:t>“</w:t>
      </w:r>
      <w:r w:rsidR="00810D42" w:rsidRPr="00810D42">
        <w:rPr>
          <w:rFonts w:ascii="Arial" w:hAnsi="Arial" w:cs="Arial"/>
          <w:b/>
        </w:rPr>
        <w:t>AFIRMATIVA Y NEGATIVA FICTA. POR SU NATURALEZA DEBEN ESTAR PREVISTAS EN LA LEY”</w:t>
      </w:r>
      <w:r w:rsidR="00810D42">
        <w:rPr>
          <w:rStyle w:val="Refdenotaalpie"/>
          <w:rFonts w:ascii="Arial" w:hAnsi="Arial" w:cs="Arial"/>
          <w:b/>
        </w:rPr>
        <w:footnoteReference w:id="15"/>
      </w:r>
      <w:r w:rsidR="009F4096">
        <w:rPr>
          <w:rFonts w:ascii="Arial" w:hAnsi="Arial" w:cs="Arial"/>
        </w:rPr>
        <w:t xml:space="preserve"> y estableció que t</w:t>
      </w:r>
      <w:r w:rsidR="009F4096" w:rsidRPr="003643B9">
        <w:rPr>
          <w:rFonts w:ascii="Arial" w:hAnsi="Arial" w:cs="Arial"/>
        </w:rPr>
        <w:t>anto la doctrina como la jurisprudencia en materia</w:t>
      </w:r>
      <w:r w:rsidR="009F4096">
        <w:rPr>
          <w:rFonts w:ascii="Arial" w:hAnsi="Arial" w:cs="Arial"/>
        </w:rPr>
        <w:t xml:space="preserve"> electoral</w:t>
      </w:r>
      <w:r w:rsidR="009F4096" w:rsidRPr="003643B9">
        <w:rPr>
          <w:rFonts w:ascii="Arial" w:hAnsi="Arial" w:cs="Arial"/>
        </w:rPr>
        <w:t xml:space="preserve">, </w:t>
      </w:r>
      <w:r w:rsidR="009F4096">
        <w:rPr>
          <w:rFonts w:ascii="Arial" w:hAnsi="Arial" w:cs="Arial"/>
        </w:rPr>
        <w:t xml:space="preserve">refieren que </w:t>
      </w:r>
      <w:r w:rsidR="009F4096" w:rsidRPr="003643B9">
        <w:rPr>
          <w:rFonts w:ascii="Arial" w:hAnsi="Arial" w:cs="Arial"/>
        </w:rPr>
        <w:t>para la actualización de la mencionada figura jurídica</w:t>
      </w:r>
      <w:r w:rsidR="009F4096">
        <w:rPr>
          <w:rFonts w:ascii="Arial" w:hAnsi="Arial" w:cs="Arial"/>
        </w:rPr>
        <w:t>,</w:t>
      </w:r>
      <w:r w:rsidR="009F4096" w:rsidRPr="003643B9">
        <w:rPr>
          <w:rFonts w:ascii="Arial" w:hAnsi="Arial" w:cs="Arial"/>
        </w:rPr>
        <w:t xml:space="preserve"> debe estar prevista en la ley aplicable, aunque no se identifique expresamente con ese nombre</w:t>
      </w:r>
      <w:r w:rsidR="009F4096">
        <w:rPr>
          <w:rFonts w:ascii="Arial" w:hAnsi="Arial" w:cs="Arial"/>
        </w:rPr>
        <w:t xml:space="preserve">, y que, </w:t>
      </w:r>
      <w:r w:rsidR="009F4096" w:rsidRPr="003643B9">
        <w:rPr>
          <w:rFonts w:ascii="Arial" w:hAnsi="Arial" w:cs="Arial"/>
        </w:rPr>
        <w:t xml:space="preserve">cuando de la interpretación </w:t>
      </w:r>
      <w:r w:rsidR="009F246B">
        <w:rPr>
          <w:rFonts w:ascii="Arial" w:hAnsi="Arial" w:cs="Arial"/>
        </w:rPr>
        <w:t xml:space="preserve">normativa </w:t>
      </w:r>
      <w:r w:rsidR="009F4096" w:rsidRPr="003643B9">
        <w:rPr>
          <w:rFonts w:ascii="Arial" w:hAnsi="Arial" w:cs="Arial"/>
        </w:rPr>
        <w:t>no sea posible establecer la referida figura jurídica, no debe entenderse que la falta de respuesta a la petición genera una resolución afirmativa o negativa ficta.</w:t>
      </w:r>
    </w:p>
    <w:p w:rsidR="009F246B" w:rsidRDefault="009F246B" w:rsidP="009F246B">
      <w:pPr>
        <w:pStyle w:val="NormalWeb"/>
        <w:spacing w:before="0" w:beforeAutospacing="0" w:afterAutospacing="0" w:line="360" w:lineRule="auto"/>
        <w:ind w:left="-283" w:right="-283"/>
        <w:contextualSpacing/>
        <w:mirrorIndents/>
        <w:jc w:val="both"/>
        <w:rPr>
          <w:rFonts w:ascii="Arial" w:hAnsi="Arial" w:cs="Arial"/>
        </w:rPr>
      </w:pPr>
    </w:p>
    <w:p w:rsidR="00FA0A7E" w:rsidRDefault="009F4096" w:rsidP="00FA0A7E">
      <w:pPr>
        <w:pStyle w:val="NormalWeb"/>
        <w:spacing w:before="0" w:beforeAutospacing="0" w:afterAutospacing="0" w:line="360" w:lineRule="auto"/>
        <w:ind w:left="-283" w:right="-283"/>
        <w:contextualSpacing/>
        <w:mirrorIndents/>
        <w:jc w:val="both"/>
        <w:rPr>
          <w:rFonts w:ascii="Arial" w:eastAsia="Century Gothic" w:hAnsi="Arial" w:cs="Arial"/>
        </w:rPr>
      </w:pPr>
      <w:r>
        <w:rPr>
          <w:rFonts w:ascii="Arial" w:hAnsi="Arial" w:cs="Arial"/>
        </w:rPr>
        <w:t>Por tanto, l</w:t>
      </w:r>
      <w:r w:rsidR="00810D42" w:rsidRPr="00810D42">
        <w:rPr>
          <w:rFonts w:ascii="Arial" w:eastAsia="Century Gothic" w:hAnsi="Arial" w:cs="Arial"/>
        </w:rPr>
        <w:t xml:space="preserve">a omisión de respuesta en el mismo día que presentó su escrito, </w:t>
      </w:r>
      <w:r w:rsidR="00BD25FD" w:rsidRPr="00BD25FD">
        <w:rPr>
          <w:rFonts w:ascii="Arial" w:eastAsia="Century Gothic" w:hAnsi="Arial" w:cs="Arial"/>
        </w:rPr>
        <w:t>no gener</w:t>
      </w:r>
      <w:r w:rsidR="00810D42" w:rsidRPr="00810D42">
        <w:rPr>
          <w:rFonts w:ascii="Arial" w:eastAsia="Century Gothic" w:hAnsi="Arial" w:cs="Arial"/>
        </w:rPr>
        <w:t>a</w:t>
      </w:r>
      <w:r w:rsidR="00BD25FD" w:rsidRPr="00BD25FD">
        <w:rPr>
          <w:rFonts w:ascii="Arial" w:eastAsia="Century Gothic" w:hAnsi="Arial" w:cs="Arial"/>
        </w:rPr>
        <w:t xml:space="preserve"> razón legal para declarar que existió una negativa ficta, porque</w:t>
      </w:r>
      <w:r w:rsidR="009F246B">
        <w:rPr>
          <w:rFonts w:ascii="Arial" w:eastAsia="Century Gothic" w:hAnsi="Arial" w:cs="Arial"/>
        </w:rPr>
        <w:t xml:space="preserve">, se reitera, </w:t>
      </w:r>
      <w:r w:rsidR="00BD25FD" w:rsidRPr="00BD25FD">
        <w:rPr>
          <w:rFonts w:ascii="Arial" w:eastAsia="Century Gothic" w:hAnsi="Arial" w:cs="Arial"/>
        </w:rPr>
        <w:t xml:space="preserve">para considerarlo así, resulta necesario que la ley aplicable lo señalara en forma expresa, o bien, deducirlo de una interpretación jurídica determinada, lo que no </w:t>
      </w:r>
      <w:r w:rsidR="00810D42" w:rsidRPr="00810D42">
        <w:rPr>
          <w:rFonts w:ascii="Arial" w:eastAsia="Century Gothic" w:hAnsi="Arial" w:cs="Arial"/>
        </w:rPr>
        <w:t>acontece en el presente caso.</w:t>
      </w:r>
    </w:p>
    <w:p w:rsidR="00710001" w:rsidRDefault="00710001" w:rsidP="00FA0A7E">
      <w:pPr>
        <w:pStyle w:val="NormalWeb"/>
        <w:spacing w:before="0" w:beforeAutospacing="0" w:afterAutospacing="0" w:line="360" w:lineRule="auto"/>
        <w:ind w:left="-283" w:right="-283"/>
        <w:contextualSpacing/>
        <w:mirrorIndents/>
        <w:jc w:val="both"/>
        <w:rPr>
          <w:rFonts w:ascii="Arial" w:eastAsia="Century Gothic" w:hAnsi="Arial" w:cs="Arial"/>
        </w:rPr>
      </w:pPr>
    </w:p>
    <w:p w:rsidR="00FA0A7E" w:rsidRPr="00A208E3" w:rsidRDefault="00DA47E0" w:rsidP="00FA0A7E">
      <w:pPr>
        <w:pStyle w:val="NormalWeb"/>
        <w:spacing w:before="0" w:beforeAutospacing="0" w:afterAutospacing="0" w:line="360" w:lineRule="auto"/>
        <w:ind w:left="-283" w:right="-283"/>
        <w:contextualSpacing/>
        <w:mirrorIndents/>
        <w:jc w:val="both"/>
        <w:rPr>
          <w:rFonts w:ascii="Arial" w:hAnsi="Arial" w:cs="Arial"/>
        </w:rPr>
      </w:pPr>
      <w:r>
        <w:rPr>
          <w:rFonts w:ascii="Arial" w:eastAsia="Century Gothic" w:hAnsi="Arial" w:cs="Arial"/>
        </w:rPr>
        <w:t>De igual manera</w:t>
      </w:r>
      <w:r w:rsidR="009F246B">
        <w:rPr>
          <w:rFonts w:ascii="Arial" w:eastAsia="Century Gothic" w:hAnsi="Arial" w:cs="Arial"/>
        </w:rPr>
        <w:t xml:space="preserve">, resultan </w:t>
      </w:r>
      <w:r w:rsidR="007F31EC">
        <w:rPr>
          <w:rFonts w:ascii="Arial" w:eastAsia="Century Gothic" w:hAnsi="Arial" w:cs="Arial"/>
        </w:rPr>
        <w:t xml:space="preserve">inatendibles los argumentos de los actores </w:t>
      </w:r>
      <w:r w:rsidR="009F246B">
        <w:rPr>
          <w:rFonts w:ascii="Arial" w:eastAsia="Century Gothic" w:hAnsi="Arial" w:cs="Arial"/>
        </w:rPr>
        <w:t xml:space="preserve">relativos al temor fundado de no ser registrados, </w:t>
      </w:r>
      <w:r w:rsidR="007F31EC">
        <w:rPr>
          <w:rFonts w:ascii="Arial" w:eastAsia="Century Gothic" w:hAnsi="Arial" w:cs="Arial"/>
        </w:rPr>
        <w:t xml:space="preserve">ya que </w:t>
      </w:r>
      <w:r w:rsidR="009F246B">
        <w:rPr>
          <w:rFonts w:ascii="Arial" w:eastAsia="Century Gothic" w:hAnsi="Arial" w:cs="Arial"/>
        </w:rPr>
        <w:t xml:space="preserve">se hacen descansar en el supuesto </w:t>
      </w:r>
      <w:r w:rsidR="00114D76">
        <w:rPr>
          <w:rFonts w:ascii="Arial" w:eastAsia="Century Gothic" w:hAnsi="Arial" w:cs="Arial"/>
        </w:rPr>
        <w:t xml:space="preserve">hecho de </w:t>
      </w:r>
      <w:r w:rsidR="007F31EC">
        <w:rPr>
          <w:rFonts w:ascii="Arial" w:eastAsia="Century Gothic" w:hAnsi="Arial" w:cs="Arial"/>
        </w:rPr>
        <w:t xml:space="preserve">que los representantes legales del partido </w:t>
      </w:r>
      <w:r w:rsidR="009F246B">
        <w:rPr>
          <w:rFonts w:ascii="Arial" w:eastAsia="Century Gothic" w:hAnsi="Arial" w:cs="Arial"/>
        </w:rPr>
        <w:t xml:space="preserve">realizaron diversas </w:t>
      </w:r>
      <w:r w:rsidR="00114D76">
        <w:rPr>
          <w:rFonts w:ascii="Arial" w:eastAsia="Century Gothic" w:hAnsi="Arial" w:cs="Arial"/>
        </w:rPr>
        <w:t xml:space="preserve">declaraciones en </w:t>
      </w:r>
      <w:r w:rsidR="007F31EC">
        <w:rPr>
          <w:rFonts w:ascii="Arial" w:eastAsia="Century Gothic" w:hAnsi="Arial" w:cs="Arial"/>
        </w:rPr>
        <w:t xml:space="preserve">los </w:t>
      </w:r>
      <w:r w:rsidR="00114D76">
        <w:rPr>
          <w:rFonts w:ascii="Arial" w:eastAsia="Century Gothic" w:hAnsi="Arial" w:cs="Arial"/>
        </w:rPr>
        <w:t xml:space="preserve">medios </w:t>
      </w:r>
      <w:r w:rsidR="007F31EC">
        <w:rPr>
          <w:rFonts w:ascii="Arial" w:eastAsia="Century Gothic" w:hAnsi="Arial" w:cs="Arial"/>
        </w:rPr>
        <w:t xml:space="preserve">de comunicación, en el sentido de que </w:t>
      </w:r>
      <w:r w:rsidR="00114D76">
        <w:rPr>
          <w:rFonts w:ascii="Arial" w:eastAsia="Century Gothic" w:hAnsi="Arial" w:cs="Arial"/>
        </w:rPr>
        <w:t xml:space="preserve">pudiesen </w:t>
      </w:r>
      <w:r w:rsidR="007F31EC">
        <w:rPr>
          <w:rFonts w:ascii="Arial" w:eastAsia="Century Gothic" w:hAnsi="Arial" w:cs="Arial"/>
        </w:rPr>
        <w:t xml:space="preserve">registrar a personas distintas a las precisadas en el dictamen de cinco de abril, </w:t>
      </w:r>
      <w:r w:rsidR="00FA0A7E">
        <w:rPr>
          <w:rFonts w:ascii="Arial" w:eastAsia="Century Gothic" w:hAnsi="Arial" w:cs="Arial"/>
        </w:rPr>
        <w:t xml:space="preserve">siendo que tales aseveraciones no se encuentran debidamente acreditadas en autos, puesto que se pretenden acreditar a través de las ligas electrónicas de diversas páginas de internet, empero, </w:t>
      </w:r>
      <w:r w:rsidR="00FA0A7E" w:rsidRPr="00A208E3">
        <w:rPr>
          <w:rFonts w:ascii="Arial" w:hAnsi="Arial" w:cs="Arial"/>
        </w:rPr>
        <w:t xml:space="preserve">son prueba técnica atendiendo a su naturaleza, acorde con el dispositivo 256, del Código Electoral; por lo que </w:t>
      </w:r>
      <w:r w:rsidR="00FA0A7E">
        <w:rPr>
          <w:rFonts w:ascii="Arial" w:hAnsi="Arial" w:cs="Arial"/>
        </w:rPr>
        <w:t>s</w:t>
      </w:r>
      <w:r w:rsidR="00BD6AEF">
        <w:rPr>
          <w:rFonts w:ascii="Arial" w:hAnsi="Arial" w:cs="Arial"/>
        </w:rPr>
        <w:t>o</w:t>
      </w:r>
      <w:r w:rsidR="00FA0A7E">
        <w:rPr>
          <w:rFonts w:ascii="Arial" w:hAnsi="Arial" w:cs="Arial"/>
        </w:rPr>
        <w:t xml:space="preserve">lo </w:t>
      </w:r>
      <w:r w:rsidR="00FA0A7E" w:rsidRPr="00A208E3">
        <w:rPr>
          <w:rFonts w:ascii="Arial" w:hAnsi="Arial" w:cs="Arial"/>
        </w:rPr>
        <w:t>tienen el valor de indicios</w:t>
      </w:r>
      <w:r w:rsidR="00FA0A7E">
        <w:rPr>
          <w:rFonts w:ascii="Arial" w:hAnsi="Arial" w:cs="Arial"/>
        </w:rPr>
        <w:t xml:space="preserve"> ya que no se encuentran concatenados ni relacionados con algún otro medio de prueba.</w:t>
      </w:r>
    </w:p>
    <w:p w:rsidR="008A029D" w:rsidRDefault="008A029D" w:rsidP="00995B77">
      <w:pPr>
        <w:pStyle w:val="NormalWeb"/>
        <w:spacing w:before="0" w:beforeAutospacing="0" w:afterAutospacing="0" w:line="360" w:lineRule="auto"/>
        <w:ind w:left="-283" w:right="-283"/>
        <w:contextualSpacing/>
        <w:mirrorIndents/>
        <w:jc w:val="both"/>
        <w:rPr>
          <w:rFonts w:ascii="Arial" w:hAnsi="Arial" w:cs="Arial"/>
        </w:rPr>
      </w:pPr>
    </w:p>
    <w:p w:rsidR="006C5EC1" w:rsidRDefault="006C5EC1" w:rsidP="007B2565">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 xml:space="preserve">En atención a todo lo antes expuesto, este Tribunal considera que </w:t>
      </w:r>
      <w:r w:rsidR="004B1F61">
        <w:rPr>
          <w:rFonts w:ascii="Arial" w:hAnsi="Arial" w:cs="Arial"/>
        </w:rPr>
        <w:t>no se ha generado al momento de la presentación de los medios de impugnación que nos ocupan, vulneración a algún derecho político-electoral de los actores.</w:t>
      </w:r>
    </w:p>
    <w:p w:rsidR="00EE1F8F" w:rsidRDefault="00EE1F8F" w:rsidP="007B2565">
      <w:pPr>
        <w:pStyle w:val="NormalWeb"/>
        <w:spacing w:before="0" w:beforeAutospacing="0" w:afterAutospacing="0" w:line="360" w:lineRule="auto"/>
        <w:ind w:left="-283" w:right="-283"/>
        <w:contextualSpacing/>
        <w:mirrorIndents/>
        <w:jc w:val="both"/>
        <w:rPr>
          <w:rFonts w:ascii="Arial" w:hAnsi="Arial" w:cs="Arial"/>
        </w:rPr>
      </w:pPr>
    </w:p>
    <w:p w:rsidR="00816F8E" w:rsidRDefault="00816F8E" w:rsidP="00816F8E">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lastRenderedPageBreak/>
        <w:t xml:space="preserve">Finalmente, es importante referir que no pasa desapercibido, </w:t>
      </w:r>
      <w:proofErr w:type="gramStart"/>
      <w:r>
        <w:rPr>
          <w:rFonts w:ascii="Arial" w:hAnsi="Arial" w:cs="Arial"/>
        </w:rPr>
        <w:t>que</w:t>
      </w:r>
      <w:proofErr w:type="gramEnd"/>
      <w:r>
        <w:rPr>
          <w:rFonts w:ascii="Arial" w:hAnsi="Arial" w:cs="Arial"/>
        </w:rPr>
        <w:t xml:space="preserve"> en la parte final de las demandas, solicitan dar vista a la fiscalía especializada en delitos electorales por la comisión de hechos constitutivos de delito, así como a la Comisión Nacional de Honestidad y Justicia de MORENA por la omisión de las autoridades responsables de cumplir con sus obligaciones de representación del partido político.</w:t>
      </w:r>
    </w:p>
    <w:p w:rsidR="00816F8E" w:rsidRDefault="00816F8E" w:rsidP="00816F8E">
      <w:pPr>
        <w:pStyle w:val="NormalWeb"/>
        <w:spacing w:before="0" w:beforeAutospacing="0" w:afterAutospacing="0" w:line="360" w:lineRule="auto"/>
        <w:ind w:left="-283" w:right="-283"/>
        <w:contextualSpacing/>
        <w:mirrorIndents/>
        <w:jc w:val="both"/>
        <w:rPr>
          <w:rFonts w:ascii="Arial" w:hAnsi="Arial" w:cs="Arial"/>
        </w:rPr>
      </w:pPr>
    </w:p>
    <w:p w:rsidR="00816F8E" w:rsidRDefault="00816F8E" w:rsidP="00816F8E">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Sin embargo, este Tribunal no advierte la comisión de hechos que pudieran ser constitutivos de delitos en materia electoral; no obstante, si los actores estiman que sí los hay, tienen expedita la vía correspondiente para instar su denuncia ante las autoridades competentes.</w:t>
      </w:r>
    </w:p>
    <w:p w:rsidR="00816F8E" w:rsidRDefault="00816F8E" w:rsidP="00816F8E">
      <w:pPr>
        <w:pStyle w:val="NormalWeb"/>
        <w:spacing w:before="0" w:beforeAutospacing="0" w:afterAutospacing="0" w:line="360" w:lineRule="auto"/>
        <w:ind w:left="-283" w:right="-283"/>
        <w:contextualSpacing/>
        <w:mirrorIndents/>
        <w:jc w:val="both"/>
        <w:rPr>
          <w:rFonts w:ascii="Arial" w:hAnsi="Arial" w:cs="Arial"/>
        </w:rPr>
      </w:pPr>
    </w:p>
    <w:p w:rsidR="00816F8E" w:rsidRDefault="00816F8E" w:rsidP="00816F8E">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 xml:space="preserve">De igual manera, si los actores consideran que las autoridades responsables incurrieron en un ejercicio indebido de las funciones inherentes a su cargo, en la instancia </w:t>
      </w:r>
      <w:proofErr w:type="spellStart"/>
      <w:r>
        <w:rPr>
          <w:rFonts w:ascii="Arial" w:hAnsi="Arial" w:cs="Arial"/>
        </w:rPr>
        <w:t>intrapartidaria</w:t>
      </w:r>
      <w:proofErr w:type="spellEnd"/>
      <w:r>
        <w:rPr>
          <w:rFonts w:ascii="Arial" w:hAnsi="Arial" w:cs="Arial"/>
        </w:rPr>
        <w:t xml:space="preserve"> existen los mecanismos y las autoridades competentes para dilucidar si existe responsabilidad administrativa de su parte.</w:t>
      </w:r>
    </w:p>
    <w:p w:rsidR="00816F8E" w:rsidRDefault="00816F8E" w:rsidP="007B2565">
      <w:pPr>
        <w:pStyle w:val="NormalWeb"/>
        <w:spacing w:before="0" w:beforeAutospacing="0" w:afterAutospacing="0" w:line="360" w:lineRule="auto"/>
        <w:ind w:left="-283" w:right="-283"/>
        <w:contextualSpacing/>
        <w:mirrorIndents/>
        <w:jc w:val="both"/>
        <w:rPr>
          <w:rFonts w:ascii="Arial" w:hAnsi="Arial" w:cs="Arial"/>
        </w:rPr>
      </w:pPr>
    </w:p>
    <w:p w:rsidR="008315FA" w:rsidRPr="008315FA" w:rsidRDefault="008315FA" w:rsidP="00816F8E">
      <w:pPr>
        <w:pStyle w:val="NormalWeb"/>
        <w:numPr>
          <w:ilvl w:val="0"/>
          <w:numId w:val="11"/>
        </w:numPr>
        <w:spacing w:before="0" w:beforeAutospacing="0" w:afterAutospacing="0" w:line="360" w:lineRule="auto"/>
        <w:ind w:right="-283"/>
        <w:contextualSpacing/>
        <w:mirrorIndents/>
        <w:jc w:val="both"/>
        <w:rPr>
          <w:rFonts w:ascii="Arial" w:hAnsi="Arial" w:cs="Arial"/>
          <w:b/>
        </w:rPr>
      </w:pPr>
      <w:r w:rsidRPr="008315FA">
        <w:rPr>
          <w:rFonts w:ascii="Arial" w:hAnsi="Arial" w:cs="Arial"/>
          <w:b/>
        </w:rPr>
        <w:t xml:space="preserve">Quedan a salvo los derechos de los actores para </w:t>
      </w:r>
      <w:r>
        <w:rPr>
          <w:rFonts w:ascii="Arial" w:hAnsi="Arial" w:cs="Arial"/>
          <w:b/>
        </w:rPr>
        <w:t xml:space="preserve">impugnar la lista final </w:t>
      </w:r>
      <w:r w:rsidR="00EE1F8F">
        <w:rPr>
          <w:rFonts w:ascii="Arial" w:hAnsi="Arial" w:cs="Arial"/>
          <w:b/>
        </w:rPr>
        <w:t>de los registros</w:t>
      </w:r>
      <w:r w:rsidR="00816F8E">
        <w:rPr>
          <w:rFonts w:ascii="Arial" w:hAnsi="Arial" w:cs="Arial"/>
          <w:b/>
        </w:rPr>
        <w:t>.</w:t>
      </w:r>
    </w:p>
    <w:p w:rsidR="008315FA" w:rsidRPr="008315FA" w:rsidRDefault="008315FA" w:rsidP="008315FA">
      <w:pPr>
        <w:pStyle w:val="NormalWeb"/>
        <w:spacing w:before="0" w:beforeAutospacing="0" w:afterAutospacing="0" w:line="360" w:lineRule="auto"/>
        <w:ind w:right="-283"/>
        <w:contextualSpacing/>
        <w:mirrorIndents/>
        <w:jc w:val="both"/>
        <w:rPr>
          <w:rFonts w:ascii="Arial" w:hAnsi="Arial" w:cs="Arial"/>
          <w:b/>
        </w:rPr>
      </w:pPr>
    </w:p>
    <w:p w:rsidR="00DA47E0" w:rsidRDefault="008315FA" w:rsidP="00DA47E0">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rPr>
        <w:t xml:space="preserve">No obstante lo antes resuelto, </w:t>
      </w:r>
      <w:r w:rsidR="00816F8E">
        <w:rPr>
          <w:rFonts w:ascii="Arial" w:hAnsi="Arial" w:cs="Arial"/>
        </w:rPr>
        <w:t xml:space="preserve">en atención a que como se dijo, </w:t>
      </w:r>
      <w:r w:rsidR="00816F8E" w:rsidRPr="00816F8E">
        <w:rPr>
          <w:rFonts w:ascii="Arial" w:eastAsia="Century Gothic" w:hAnsi="Arial" w:cs="Arial"/>
          <w:u w:val="single"/>
        </w:rPr>
        <w:t>este órgano colegiado, no se ha pronunciado en ningún juicio, sobre la legalidad o no de</w:t>
      </w:r>
      <w:r w:rsidR="00816F8E">
        <w:rPr>
          <w:rFonts w:ascii="Arial" w:eastAsia="Century Gothic" w:hAnsi="Arial" w:cs="Arial"/>
          <w:u w:val="single"/>
        </w:rPr>
        <w:t>l dictamen de candidatos para los municipios del Estado, sancionado por el Comité Ejecutivo Nacional</w:t>
      </w:r>
      <w:r w:rsidR="00816F8E" w:rsidRPr="00816F8E">
        <w:rPr>
          <w:rFonts w:ascii="Arial" w:eastAsia="Century Gothic" w:hAnsi="Arial" w:cs="Arial"/>
          <w:u w:val="single"/>
        </w:rPr>
        <w:t>, ni tampoco sobre e</w:t>
      </w:r>
      <w:r w:rsidR="00692AF9">
        <w:rPr>
          <w:rFonts w:ascii="Arial" w:eastAsia="Century Gothic" w:hAnsi="Arial" w:cs="Arial"/>
          <w:u w:val="single"/>
        </w:rPr>
        <w:t>l</w:t>
      </w:r>
      <w:r w:rsidR="00816F8E" w:rsidRPr="00816F8E">
        <w:rPr>
          <w:rFonts w:ascii="Arial" w:eastAsia="Century Gothic" w:hAnsi="Arial" w:cs="Arial"/>
          <w:u w:val="single"/>
        </w:rPr>
        <w:t xml:space="preserve"> registro finalmente llevado a cabo, al no haber sido impugnado</w:t>
      </w:r>
      <w:r w:rsidR="00816F8E">
        <w:rPr>
          <w:rFonts w:ascii="Arial" w:eastAsia="Century Gothic" w:hAnsi="Arial" w:cs="Arial"/>
          <w:u w:val="single"/>
        </w:rPr>
        <w:t>s</w:t>
      </w:r>
      <w:r w:rsidR="00816F8E" w:rsidRPr="00816F8E">
        <w:rPr>
          <w:rFonts w:ascii="Arial" w:eastAsia="Century Gothic" w:hAnsi="Arial" w:cs="Arial"/>
          <w:u w:val="single"/>
        </w:rPr>
        <w:t>, ni uno, ni otro, ante esta potestad</w:t>
      </w:r>
      <w:r w:rsidR="00816F8E">
        <w:rPr>
          <w:rFonts w:ascii="Arial" w:hAnsi="Arial" w:cs="Arial"/>
        </w:rPr>
        <w:t xml:space="preserve">; </w:t>
      </w:r>
      <w:r>
        <w:rPr>
          <w:rFonts w:ascii="Arial" w:hAnsi="Arial" w:cs="Arial"/>
        </w:rPr>
        <w:t xml:space="preserve">resulta importante precisar que </w:t>
      </w:r>
      <w:r>
        <w:rPr>
          <w:rFonts w:ascii="Arial" w:hAnsi="Arial" w:cs="Arial"/>
          <w:b/>
        </w:rPr>
        <w:t xml:space="preserve">quedan a salvo los derechos de los actores, </w:t>
      </w:r>
      <w:r>
        <w:rPr>
          <w:rFonts w:ascii="Arial" w:hAnsi="Arial" w:cs="Arial"/>
        </w:rPr>
        <w:t xml:space="preserve">para </w:t>
      </w:r>
      <w:r w:rsidR="00816F8E">
        <w:rPr>
          <w:rFonts w:ascii="Arial" w:hAnsi="Arial" w:cs="Arial"/>
        </w:rPr>
        <w:t xml:space="preserve">controvertir en la vía que estimen conducente, </w:t>
      </w:r>
      <w:r w:rsidR="00EE1F8F">
        <w:rPr>
          <w:rFonts w:ascii="Arial" w:hAnsi="Arial" w:cs="Arial"/>
        </w:rPr>
        <w:t>la lista final de los registros</w:t>
      </w:r>
      <w:r w:rsidR="00816F8E">
        <w:rPr>
          <w:rFonts w:ascii="Arial" w:hAnsi="Arial" w:cs="Arial"/>
        </w:rPr>
        <w:t xml:space="preserve"> generados ante el Instituto Estatal Electoral</w:t>
      </w:r>
      <w:r w:rsidR="00EE1F8F">
        <w:rPr>
          <w:rFonts w:ascii="Arial" w:hAnsi="Arial" w:cs="Arial"/>
        </w:rPr>
        <w:t xml:space="preserve">, cuando se ostenten sabedores </w:t>
      </w:r>
      <w:r w:rsidR="00816F8E">
        <w:rPr>
          <w:rFonts w:ascii="Arial" w:hAnsi="Arial" w:cs="Arial"/>
        </w:rPr>
        <w:t xml:space="preserve">de ello, </w:t>
      </w:r>
      <w:r w:rsidR="00EE1F8F">
        <w:rPr>
          <w:rFonts w:ascii="Arial" w:hAnsi="Arial" w:cs="Arial"/>
        </w:rPr>
        <w:t>o bien</w:t>
      </w:r>
      <w:r w:rsidR="00816F8E">
        <w:rPr>
          <w:rFonts w:ascii="Arial" w:hAnsi="Arial" w:cs="Arial"/>
        </w:rPr>
        <w:t>,</w:t>
      </w:r>
      <w:r w:rsidR="00EE1F8F">
        <w:rPr>
          <w:rFonts w:ascii="Arial" w:hAnsi="Arial" w:cs="Arial"/>
        </w:rPr>
        <w:t xml:space="preserve"> a partir de su publicación</w:t>
      </w:r>
      <w:r w:rsidR="00816F8E">
        <w:rPr>
          <w:rFonts w:ascii="Arial" w:hAnsi="Arial" w:cs="Arial"/>
        </w:rPr>
        <w:t xml:space="preserve"> oficial</w:t>
      </w:r>
      <w:r w:rsidR="00A775CB">
        <w:rPr>
          <w:rFonts w:ascii="Arial" w:hAnsi="Arial" w:cs="Arial"/>
        </w:rPr>
        <w:t>.</w:t>
      </w:r>
    </w:p>
    <w:p w:rsidR="00DA47E0" w:rsidRDefault="00DA47E0" w:rsidP="00DA47E0">
      <w:pPr>
        <w:pStyle w:val="NormalWeb"/>
        <w:spacing w:before="0" w:beforeAutospacing="0" w:afterAutospacing="0" w:line="360" w:lineRule="auto"/>
        <w:ind w:left="-283" w:right="-283"/>
        <w:contextualSpacing/>
        <w:mirrorIndents/>
        <w:jc w:val="both"/>
        <w:rPr>
          <w:rFonts w:ascii="Arial" w:hAnsi="Arial" w:cs="Arial"/>
        </w:rPr>
      </w:pPr>
    </w:p>
    <w:p w:rsidR="00DA47E0" w:rsidRPr="00DA47E0" w:rsidRDefault="00DA47E0" w:rsidP="00DA47E0">
      <w:pPr>
        <w:pStyle w:val="NormalWeb"/>
        <w:spacing w:before="0" w:beforeAutospacing="0" w:afterAutospacing="0" w:line="360" w:lineRule="auto"/>
        <w:ind w:left="-283" w:right="-283"/>
        <w:contextualSpacing/>
        <w:mirrorIndents/>
        <w:jc w:val="both"/>
        <w:rPr>
          <w:rFonts w:ascii="Arial" w:hAnsi="Arial" w:cs="Arial"/>
        </w:rPr>
      </w:pPr>
      <w:r w:rsidRPr="00DA47E0">
        <w:rPr>
          <w:rFonts w:ascii="Arial" w:hAnsi="Arial" w:cs="Arial"/>
        </w:rPr>
        <w:t xml:space="preserve">No pasa desapercibido para este Órgano Jurisdiccional, que la fecha de inicio del periodo de campañas fue el pasado quince del presente mes; sin embargo, el dictado de este fallo en la presente fecha obedece a la naturaleza de un sistema de medios de impugnación, en el que los órganos jurisdiccionales resuelven a la brevedad velando incondicionalmente a la protección de los derechos políticos de los denunciantes. Es por lo anterior, que se crean figuras </w:t>
      </w:r>
      <w:r w:rsidRPr="00DA47E0">
        <w:rPr>
          <w:rFonts w:ascii="Arial" w:hAnsi="Arial" w:cs="Arial"/>
        </w:rPr>
        <w:lastRenderedPageBreak/>
        <w:t>como el per-</w:t>
      </w:r>
      <w:proofErr w:type="spellStart"/>
      <w:r w:rsidRPr="00DA47E0">
        <w:rPr>
          <w:rFonts w:ascii="Arial" w:hAnsi="Arial" w:cs="Arial"/>
        </w:rPr>
        <w:t>saltum</w:t>
      </w:r>
      <w:proofErr w:type="spellEnd"/>
      <w:r w:rsidRPr="00DA47E0">
        <w:rPr>
          <w:rFonts w:ascii="Arial" w:hAnsi="Arial" w:cs="Arial"/>
        </w:rPr>
        <w:t xml:space="preserve">, las cuales precisamente tienen como finalidad, en la mayor medida posible, salvaguardar los derechos de los ciudadanos para una protección completa y expedita por parte de los tribunales locales o federales. </w:t>
      </w:r>
    </w:p>
    <w:p w:rsidR="00EC21B1" w:rsidRPr="00C60FDB" w:rsidRDefault="00EC21B1" w:rsidP="00995B77">
      <w:pPr>
        <w:pStyle w:val="NormalWeb"/>
        <w:spacing w:before="0" w:beforeAutospacing="0" w:afterAutospacing="0" w:line="360" w:lineRule="auto"/>
        <w:ind w:left="-283" w:right="-283"/>
        <w:contextualSpacing/>
        <w:mirrorIndents/>
        <w:jc w:val="both"/>
        <w:rPr>
          <w:rFonts w:ascii="Arial" w:hAnsi="Arial" w:cs="Arial"/>
        </w:rPr>
      </w:pPr>
    </w:p>
    <w:p w:rsidR="00375F6A" w:rsidRPr="00C60FDB" w:rsidRDefault="00375F6A" w:rsidP="00EC21B1">
      <w:pPr>
        <w:pStyle w:val="NormalWeb"/>
        <w:spacing w:afterAutospacing="0" w:line="360" w:lineRule="auto"/>
        <w:ind w:left="-283" w:right="-283"/>
        <w:contextualSpacing/>
        <w:mirrorIndents/>
        <w:jc w:val="center"/>
        <w:rPr>
          <w:rFonts w:ascii="Arial" w:hAnsi="Arial" w:cs="Arial"/>
          <w:b/>
        </w:rPr>
      </w:pPr>
      <w:r w:rsidRPr="00C60FDB">
        <w:rPr>
          <w:rFonts w:ascii="Arial" w:hAnsi="Arial" w:cs="Arial"/>
          <w:b/>
        </w:rPr>
        <w:t>RESOLUTIVOS.</w:t>
      </w:r>
    </w:p>
    <w:p w:rsidR="00375F6A" w:rsidRPr="00C60FDB" w:rsidRDefault="00375F6A" w:rsidP="00995B77">
      <w:pPr>
        <w:pStyle w:val="NormalWeb"/>
        <w:spacing w:afterAutospacing="0" w:line="360" w:lineRule="auto"/>
        <w:ind w:left="-283" w:right="-283"/>
        <w:contextualSpacing/>
        <w:mirrorIndents/>
        <w:jc w:val="both"/>
        <w:rPr>
          <w:rFonts w:ascii="Arial" w:hAnsi="Arial" w:cs="Arial"/>
          <w:b/>
        </w:rPr>
      </w:pPr>
    </w:p>
    <w:p w:rsidR="00CE1635" w:rsidRPr="004B1F61" w:rsidRDefault="00F74B4B" w:rsidP="00CE1635">
      <w:pPr>
        <w:pStyle w:val="NormalWeb"/>
        <w:spacing w:afterAutospacing="0" w:line="360" w:lineRule="auto"/>
        <w:ind w:left="-283" w:right="-283"/>
        <w:contextualSpacing/>
        <w:mirrorIndents/>
        <w:jc w:val="both"/>
        <w:rPr>
          <w:rFonts w:ascii="Arial" w:hAnsi="Arial" w:cs="Arial"/>
          <w:b/>
        </w:rPr>
      </w:pPr>
      <w:r w:rsidRPr="004B1F61">
        <w:rPr>
          <w:rFonts w:ascii="Arial" w:hAnsi="Arial" w:cs="Arial"/>
          <w:b/>
        </w:rPr>
        <w:t xml:space="preserve">PRIMERO. - </w:t>
      </w:r>
      <w:r w:rsidR="00CE1635" w:rsidRPr="004B1F61">
        <w:rPr>
          <w:rFonts w:ascii="Arial" w:hAnsi="Arial" w:cs="Arial"/>
        </w:rPr>
        <w:t xml:space="preserve">Es procedente conocer vía </w:t>
      </w:r>
      <w:r w:rsidR="00CE1635" w:rsidRPr="004B1F61">
        <w:rPr>
          <w:rFonts w:ascii="Arial" w:hAnsi="Arial" w:cs="Arial"/>
          <w:i/>
        </w:rPr>
        <w:t xml:space="preserve">per </w:t>
      </w:r>
      <w:proofErr w:type="spellStart"/>
      <w:r w:rsidR="00CE1635" w:rsidRPr="004B1F61">
        <w:rPr>
          <w:rFonts w:ascii="Arial" w:hAnsi="Arial" w:cs="Arial"/>
          <w:i/>
        </w:rPr>
        <w:t>saltum</w:t>
      </w:r>
      <w:proofErr w:type="spellEnd"/>
      <w:r w:rsidR="00CE1635" w:rsidRPr="004B1F61">
        <w:rPr>
          <w:rFonts w:ascii="Arial" w:hAnsi="Arial" w:cs="Arial"/>
        </w:rPr>
        <w:t>, los Juicios para la Protección de los Derechos Político-Electorales del Ciudadano</w:t>
      </w:r>
      <w:r w:rsidR="00EC21B1" w:rsidRPr="004B1F61">
        <w:rPr>
          <w:rFonts w:ascii="Arial" w:hAnsi="Arial" w:cs="Arial"/>
        </w:rPr>
        <w:t xml:space="preserve"> </w:t>
      </w:r>
      <w:r w:rsidR="006C5EC1" w:rsidRPr="004B1F61">
        <w:rPr>
          <w:rFonts w:ascii="Arial" w:hAnsi="Arial" w:cs="Arial"/>
        </w:rPr>
        <w:t>TEEA-JDC-035/2019 y acumulados</w:t>
      </w:r>
      <w:r w:rsidR="00CE1635" w:rsidRPr="004B1F61">
        <w:rPr>
          <w:rFonts w:ascii="Arial" w:hAnsi="Arial" w:cs="Arial"/>
        </w:rPr>
        <w:t>.</w:t>
      </w:r>
    </w:p>
    <w:p w:rsidR="00075D73" w:rsidRDefault="00075D73" w:rsidP="006C5EC1">
      <w:pPr>
        <w:pStyle w:val="NormalWeb"/>
        <w:spacing w:afterAutospacing="0" w:line="360" w:lineRule="auto"/>
        <w:ind w:left="-283" w:right="-283"/>
        <w:contextualSpacing/>
        <w:mirrorIndents/>
        <w:jc w:val="both"/>
        <w:rPr>
          <w:rFonts w:ascii="Arial" w:hAnsi="Arial" w:cs="Arial"/>
          <w:b/>
        </w:rPr>
      </w:pPr>
    </w:p>
    <w:p w:rsidR="00375F6A" w:rsidRPr="006C5EC1" w:rsidRDefault="00F74B4B" w:rsidP="006C5EC1">
      <w:pPr>
        <w:pStyle w:val="NormalWeb"/>
        <w:spacing w:afterAutospacing="0" w:line="360" w:lineRule="auto"/>
        <w:ind w:left="-283" w:right="-283"/>
        <w:contextualSpacing/>
        <w:mirrorIndents/>
        <w:jc w:val="both"/>
        <w:rPr>
          <w:rFonts w:ascii="Arial" w:hAnsi="Arial" w:cs="Arial"/>
        </w:rPr>
      </w:pPr>
      <w:proofErr w:type="gramStart"/>
      <w:r w:rsidRPr="004B1F61">
        <w:rPr>
          <w:rFonts w:ascii="Arial" w:hAnsi="Arial" w:cs="Arial"/>
          <w:b/>
        </w:rPr>
        <w:t>SEGUNDO.</w:t>
      </w:r>
      <w:r w:rsidR="006C5EC1" w:rsidRPr="004B1F61">
        <w:rPr>
          <w:rFonts w:ascii="Arial" w:hAnsi="Arial" w:cs="Arial"/>
          <w:b/>
        </w:rPr>
        <w:t>-</w:t>
      </w:r>
      <w:proofErr w:type="gramEnd"/>
      <w:r w:rsidR="006C5EC1" w:rsidRPr="004B1F61">
        <w:rPr>
          <w:rFonts w:ascii="Arial" w:hAnsi="Arial" w:cs="Arial"/>
          <w:b/>
        </w:rPr>
        <w:t xml:space="preserve"> </w:t>
      </w:r>
      <w:r w:rsidR="006C5EC1" w:rsidRPr="004B1F61">
        <w:rPr>
          <w:rFonts w:ascii="Arial" w:hAnsi="Arial" w:cs="Arial"/>
        </w:rPr>
        <w:t>Se declara la inexistencia de vulneración a los derechos político-electorales de los actores, por los motivos expuestos en el considerando tercero</w:t>
      </w:r>
      <w:r w:rsidR="006C5EC1">
        <w:rPr>
          <w:rFonts w:ascii="Arial" w:hAnsi="Arial" w:cs="Arial"/>
        </w:rPr>
        <w:t xml:space="preserve"> de la presente resolución.</w:t>
      </w:r>
    </w:p>
    <w:p w:rsidR="00816F8E" w:rsidRDefault="00816F8E" w:rsidP="00EC6BA8">
      <w:pPr>
        <w:pStyle w:val="NormalWeb"/>
        <w:spacing w:afterAutospacing="0" w:line="360" w:lineRule="auto"/>
        <w:ind w:left="-283" w:right="-283"/>
        <w:contextualSpacing/>
        <w:mirrorIndents/>
        <w:jc w:val="both"/>
        <w:rPr>
          <w:rFonts w:ascii="Arial" w:hAnsi="Arial" w:cs="Arial"/>
          <w:b/>
        </w:rPr>
      </w:pPr>
    </w:p>
    <w:p w:rsidR="00375F6A" w:rsidRPr="00C60FDB" w:rsidRDefault="00375F6A" w:rsidP="00995B77">
      <w:pPr>
        <w:pStyle w:val="NormalWeb"/>
        <w:spacing w:afterAutospacing="0" w:line="360" w:lineRule="auto"/>
        <w:ind w:left="-283" w:right="-283"/>
        <w:contextualSpacing/>
        <w:mirrorIndents/>
        <w:jc w:val="both"/>
        <w:rPr>
          <w:rFonts w:ascii="Arial" w:hAnsi="Arial" w:cs="Arial"/>
        </w:rPr>
      </w:pPr>
      <w:r w:rsidRPr="00C60FDB">
        <w:rPr>
          <w:rFonts w:ascii="Arial" w:hAnsi="Arial" w:cs="Arial"/>
          <w:b/>
        </w:rPr>
        <w:t>NOTIFIQUESE.</w:t>
      </w:r>
      <w:r w:rsidRPr="00C60FDB">
        <w:rPr>
          <w:rFonts w:ascii="Arial" w:hAnsi="Arial" w:cs="Arial"/>
        </w:rPr>
        <w:t xml:space="preserve"> En su oportunidad, archívese el presente expediente como asunto concluido</w:t>
      </w:r>
      <w:r w:rsidR="00537912">
        <w:rPr>
          <w:rFonts w:ascii="Arial" w:hAnsi="Arial" w:cs="Arial"/>
        </w:rPr>
        <w:t>.</w:t>
      </w:r>
    </w:p>
    <w:p w:rsidR="00D56F71" w:rsidRDefault="00D56F71" w:rsidP="00995B77">
      <w:pPr>
        <w:pStyle w:val="NormalWeb"/>
        <w:spacing w:afterAutospacing="0" w:line="360" w:lineRule="auto"/>
        <w:ind w:left="-283" w:right="-283"/>
        <w:contextualSpacing/>
        <w:mirrorIndents/>
        <w:jc w:val="both"/>
        <w:rPr>
          <w:rFonts w:ascii="Arial" w:hAnsi="Arial" w:cs="Arial"/>
        </w:rPr>
      </w:pPr>
    </w:p>
    <w:p w:rsidR="006A7EE7" w:rsidRDefault="006A7EE7" w:rsidP="00995B77">
      <w:pPr>
        <w:pStyle w:val="NormalWeb"/>
        <w:spacing w:afterAutospacing="0" w:line="360" w:lineRule="auto"/>
        <w:ind w:left="-283" w:right="-283"/>
        <w:contextualSpacing/>
        <w:mirrorIndents/>
        <w:jc w:val="both"/>
        <w:rPr>
          <w:rFonts w:ascii="Arial" w:hAnsi="Arial" w:cs="Arial"/>
        </w:rPr>
      </w:pPr>
      <w:r w:rsidRPr="002561A1">
        <w:rPr>
          <w:rFonts w:ascii="Arial" w:hAnsi="Arial" w:cs="Arial"/>
        </w:rPr>
        <w:t xml:space="preserve">Así lo resolvió el Tribunal Electoral del Estado de Aguascalientes, por </w:t>
      </w:r>
      <w:r w:rsidR="00220B63" w:rsidRPr="004C15F4">
        <w:rPr>
          <w:rFonts w:ascii="Arial" w:hAnsi="Arial" w:cs="Arial"/>
        </w:rPr>
        <w:t>unanimidad</w:t>
      </w:r>
      <w:r w:rsidR="00471C81" w:rsidRPr="002561A1">
        <w:rPr>
          <w:rFonts w:ascii="Arial" w:hAnsi="Arial" w:cs="Arial"/>
        </w:rPr>
        <w:t xml:space="preserve"> </w:t>
      </w:r>
      <w:r w:rsidRPr="002561A1">
        <w:rPr>
          <w:rFonts w:ascii="Arial" w:hAnsi="Arial" w:cs="Arial"/>
        </w:rPr>
        <w:t>de votos de la Magistrada y Magistrados que lo integran, ante el Secretario General de Acuerdos, quien autoriza y da fe.</w:t>
      </w:r>
    </w:p>
    <w:p w:rsidR="003D697C" w:rsidRDefault="003D697C" w:rsidP="00995B77">
      <w:pPr>
        <w:pStyle w:val="NormalWeb"/>
        <w:spacing w:afterAutospacing="0" w:line="360" w:lineRule="auto"/>
        <w:ind w:left="-283" w:right="-283"/>
        <w:contextualSpacing/>
        <w:mirrorIndents/>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6A7EE7" w:rsidRPr="002561A1" w:rsidTr="00246D2B">
        <w:trPr>
          <w:trHeight w:val="1092"/>
        </w:trPr>
        <w:tc>
          <w:tcPr>
            <w:tcW w:w="8810" w:type="dxa"/>
            <w:gridSpan w:val="2"/>
            <w:hideMark/>
          </w:tcPr>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MAGISTRADO PRESIDENTE</w:t>
            </w:r>
          </w:p>
          <w:p w:rsidR="006A7EE7" w:rsidRPr="002561A1" w:rsidRDefault="006A7EE7" w:rsidP="004C15F4">
            <w:pPr>
              <w:pStyle w:val="NormalWeb"/>
              <w:spacing w:line="360" w:lineRule="auto"/>
              <w:contextualSpacing/>
              <w:mirrorIndents/>
              <w:jc w:val="center"/>
              <w:rPr>
                <w:rFonts w:ascii="Arial" w:hAnsi="Arial" w:cs="Arial"/>
                <w:b/>
                <w:bCs/>
              </w:rPr>
            </w:pPr>
          </w:p>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HÉCTOR SALVADOR HERNÁNDEZ GALLEGOS</w:t>
            </w:r>
          </w:p>
          <w:p w:rsidR="006A7EE7" w:rsidRDefault="006A7EE7" w:rsidP="004C15F4">
            <w:pPr>
              <w:pStyle w:val="NormalWeb"/>
              <w:spacing w:line="360" w:lineRule="auto"/>
              <w:contextualSpacing/>
              <w:mirrorIndents/>
              <w:jc w:val="center"/>
              <w:rPr>
                <w:rFonts w:ascii="Arial" w:hAnsi="Arial" w:cs="Arial"/>
                <w:b/>
                <w:bCs/>
              </w:rPr>
            </w:pPr>
          </w:p>
          <w:p w:rsidR="003D697C" w:rsidRDefault="003D697C" w:rsidP="004C15F4">
            <w:pPr>
              <w:pStyle w:val="NormalWeb"/>
              <w:spacing w:line="360" w:lineRule="auto"/>
              <w:contextualSpacing/>
              <w:mirrorIndents/>
              <w:jc w:val="center"/>
              <w:rPr>
                <w:rFonts w:ascii="Arial" w:hAnsi="Arial" w:cs="Arial"/>
                <w:b/>
                <w:bCs/>
              </w:rPr>
            </w:pPr>
          </w:p>
          <w:p w:rsidR="00803966" w:rsidRPr="002561A1" w:rsidRDefault="00803966" w:rsidP="004C15F4">
            <w:pPr>
              <w:pStyle w:val="NormalWeb"/>
              <w:spacing w:line="360" w:lineRule="auto"/>
              <w:contextualSpacing/>
              <w:mirrorIndents/>
              <w:jc w:val="center"/>
              <w:rPr>
                <w:rFonts w:ascii="Arial" w:hAnsi="Arial" w:cs="Arial"/>
                <w:b/>
                <w:bCs/>
              </w:rPr>
            </w:pPr>
          </w:p>
        </w:tc>
      </w:tr>
      <w:tr w:rsidR="006A7EE7" w:rsidRPr="002561A1" w:rsidTr="00246D2B">
        <w:tblPrEx>
          <w:tblLook w:val="0000" w:firstRow="0" w:lastRow="0" w:firstColumn="0" w:lastColumn="0" w:noHBand="0" w:noVBand="0"/>
        </w:tblPrEx>
        <w:trPr>
          <w:trHeight w:val="1434"/>
        </w:trPr>
        <w:tc>
          <w:tcPr>
            <w:tcW w:w="4380" w:type="dxa"/>
          </w:tcPr>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MAGISTRADA</w:t>
            </w:r>
          </w:p>
          <w:p w:rsidR="006A7EE7" w:rsidRPr="002561A1" w:rsidRDefault="006A7EE7" w:rsidP="004C15F4">
            <w:pPr>
              <w:pStyle w:val="NormalWeb"/>
              <w:spacing w:line="360" w:lineRule="auto"/>
              <w:contextualSpacing/>
              <w:mirrorIndents/>
              <w:jc w:val="center"/>
              <w:rPr>
                <w:rFonts w:ascii="Arial" w:hAnsi="Arial" w:cs="Arial"/>
                <w:b/>
                <w:bCs/>
              </w:rPr>
            </w:pPr>
          </w:p>
          <w:p w:rsidR="006A7EE7" w:rsidRPr="002561A1" w:rsidRDefault="006A7EE7" w:rsidP="008A029D">
            <w:pPr>
              <w:pStyle w:val="NormalWeb"/>
              <w:contextualSpacing/>
              <w:mirrorIndents/>
              <w:jc w:val="center"/>
              <w:rPr>
                <w:rFonts w:ascii="Arial" w:hAnsi="Arial" w:cs="Arial"/>
                <w:b/>
                <w:bCs/>
              </w:rPr>
            </w:pPr>
            <w:r w:rsidRPr="002561A1">
              <w:rPr>
                <w:rFonts w:ascii="Arial" w:hAnsi="Arial" w:cs="Arial"/>
                <w:b/>
                <w:bCs/>
              </w:rPr>
              <w:t xml:space="preserve">CLAUDIA </w:t>
            </w:r>
            <w:r w:rsidR="006967AE">
              <w:rPr>
                <w:rFonts w:ascii="Arial" w:hAnsi="Arial" w:cs="Arial"/>
                <w:b/>
                <w:bCs/>
              </w:rPr>
              <w:t>ELOÍSA</w:t>
            </w:r>
            <w:r w:rsidRPr="002561A1">
              <w:rPr>
                <w:rFonts w:ascii="Arial" w:hAnsi="Arial" w:cs="Arial"/>
                <w:b/>
                <w:bCs/>
              </w:rPr>
              <w:t xml:space="preserve"> DÍAZ DE LEÓN GONZÁLEZ</w:t>
            </w:r>
          </w:p>
        </w:tc>
        <w:tc>
          <w:tcPr>
            <w:tcW w:w="4430" w:type="dxa"/>
          </w:tcPr>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MAGISTRADO</w:t>
            </w:r>
          </w:p>
          <w:p w:rsidR="006A7EE7" w:rsidRPr="002561A1" w:rsidRDefault="006A7EE7" w:rsidP="004C15F4">
            <w:pPr>
              <w:pStyle w:val="NormalWeb"/>
              <w:spacing w:line="360" w:lineRule="auto"/>
              <w:contextualSpacing/>
              <w:mirrorIndents/>
              <w:jc w:val="center"/>
              <w:rPr>
                <w:rFonts w:ascii="Arial" w:hAnsi="Arial" w:cs="Arial"/>
                <w:b/>
                <w:bCs/>
              </w:rPr>
            </w:pPr>
          </w:p>
          <w:p w:rsidR="006A7EE7" w:rsidRPr="002561A1" w:rsidRDefault="006A7EE7" w:rsidP="008A029D">
            <w:pPr>
              <w:pStyle w:val="NormalWeb"/>
              <w:contextualSpacing/>
              <w:mirrorIndents/>
              <w:jc w:val="center"/>
              <w:rPr>
                <w:rFonts w:ascii="Arial" w:hAnsi="Arial" w:cs="Arial"/>
                <w:b/>
                <w:bCs/>
              </w:rPr>
            </w:pPr>
            <w:r w:rsidRPr="002561A1">
              <w:rPr>
                <w:rFonts w:ascii="Arial" w:hAnsi="Arial" w:cs="Arial"/>
                <w:b/>
                <w:bCs/>
              </w:rPr>
              <w:t>JORGE RAMÓN DÍAZ DE LEÓN GUTIÉRREZ</w:t>
            </w:r>
          </w:p>
        </w:tc>
      </w:tr>
      <w:tr w:rsidR="006A7EE7" w:rsidRPr="002561A1" w:rsidTr="00246D2B">
        <w:tblPrEx>
          <w:tblLook w:val="0000" w:firstRow="0" w:lastRow="0" w:firstColumn="0" w:lastColumn="0" w:noHBand="0" w:noVBand="0"/>
        </w:tblPrEx>
        <w:trPr>
          <w:trHeight w:val="852"/>
        </w:trPr>
        <w:tc>
          <w:tcPr>
            <w:tcW w:w="8810" w:type="dxa"/>
            <w:gridSpan w:val="2"/>
          </w:tcPr>
          <w:p w:rsidR="006A7EE7" w:rsidRDefault="006A7EE7" w:rsidP="004C15F4">
            <w:pPr>
              <w:pStyle w:val="NormalWeb"/>
              <w:spacing w:line="360" w:lineRule="auto"/>
              <w:contextualSpacing/>
              <w:mirrorIndents/>
              <w:jc w:val="center"/>
              <w:rPr>
                <w:rFonts w:ascii="Arial" w:hAnsi="Arial" w:cs="Arial"/>
                <w:b/>
                <w:bCs/>
              </w:rPr>
            </w:pPr>
          </w:p>
          <w:p w:rsidR="003D697C" w:rsidRPr="002561A1" w:rsidRDefault="003D697C" w:rsidP="004C15F4">
            <w:pPr>
              <w:pStyle w:val="NormalWeb"/>
              <w:spacing w:line="360" w:lineRule="auto"/>
              <w:contextualSpacing/>
              <w:mirrorIndents/>
              <w:jc w:val="center"/>
              <w:rPr>
                <w:rFonts w:ascii="Arial" w:hAnsi="Arial" w:cs="Arial"/>
                <w:b/>
                <w:bCs/>
              </w:rPr>
            </w:pPr>
          </w:p>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SECRETARIO GENERAL DE ACUERDOS</w:t>
            </w:r>
          </w:p>
          <w:p w:rsidR="006A7EE7" w:rsidRPr="002561A1" w:rsidRDefault="006A7EE7" w:rsidP="004C15F4">
            <w:pPr>
              <w:pStyle w:val="NormalWeb"/>
              <w:spacing w:line="360" w:lineRule="auto"/>
              <w:contextualSpacing/>
              <w:mirrorIndents/>
              <w:jc w:val="center"/>
              <w:rPr>
                <w:rFonts w:ascii="Arial" w:hAnsi="Arial" w:cs="Arial"/>
                <w:b/>
                <w:bCs/>
              </w:rPr>
            </w:pPr>
          </w:p>
        </w:tc>
      </w:tr>
      <w:tr w:rsidR="006A7EE7" w:rsidRPr="002561A1" w:rsidTr="00246D2B">
        <w:tblPrEx>
          <w:tblLook w:val="0000" w:firstRow="0" w:lastRow="0" w:firstColumn="0" w:lastColumn="0" w:noHBand="0" w:noVBand="0"/>
        </w:tblPrEx>
        <w:trPr>
          <w:trHeight w:val="286"/>
        </w:trPr>
        <w:tc>
          <w:tcPr>
            <w:tcW w:w="8810" w:type="dxa"/>
            <w:gridSpan w:val="2"/>
          </w:tcPr>
          <w:p w:rsidR="006A7EE7" w:rsidRPr="002561A1" w:rsidRDefault="006A7EE7" w:rsidP="004C15F4">
            <w:pPr>
              <w:pStyle w:val="NormalWeb"/>
              <w:spacing w:line="360" w:lineRule="auto"/>
              <w:contextualSpacing/>
              <w:mirrorIndents/>
              <w:jc w:val="center"/>
              <w:rPr>
                <w:rFonts w:ascii="Arial" w:hAnsi="Arial" w:cs="Arial"/>
                <w:b/>
                <w:bCs/>
              </w:rPr>
            </w:pPr>
            <w:r w:rsidRPr="002561A1">
              <w:rPr>
                <w:rFonts w:ascii="Arial" w:hAnsi="Arial" w:cs="Arial"/>
                <w:b/>
                <w:bCs/>
              </w:rPr>
              <w:t>JESÚS OCIEL BAENA SAUCEDO</w:t>
            </w:r>
          </w:p>
        </w:tc>
      </w:tr>
    </w:tbl>
    <w:p w:rsidR="007B2533" w:rsidRPr="002561A1" w:rsidRDefault="007B2533" w:rsidP="004B74D0">
      <w:pPr>
        <w:rPr>
          <w:rFonts w:ascii="Arial" w:hAnsi="Arial" w:cs="Arial"/>
          <w:sz w:val="24"/>
          <w:szCs w:val="24"/>
        </w:rPr>
      </w:pPr>
    </w:p>
    <w:sectPr w:rsidR="007B2533" w:rsidRPr="002561A1" w:rsidSect="00D06A5B">
      <w:headerReference w:type="even" r:id="rId9"/>
      <w:headerReference w:type="default" r:id="rId10"/>
      <w:footerReference w:type="even" r:id="rId11"/>
      <w:footerReference w:type="default" r:id="rId12"/>
      <w:headerReference w:type="first" r:id="rId13"/>
      <w:footerReference w:type="first" r:id="rId14"/>
      <w:pgSz w:w="12240" w:h="20160" w:code="5"/>
      <w:pgMar w:top="3544" w:right="1469" w:bottom="1843"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108" w:rsidRDefault="00BA4108" w:rsidP="006A7EE7">
      <w:pPr>
        <w:spacing w:after="0" w:line="240" w:lineRule="auto"/>
      </w:pPr>
      <w:r>
        <w:separator/>
      </w:r>
    </w:p>
  </w:endnote>
  <w:endnote w:type="continuationSeparator" w:id="0">
    <w:p w:rsidR="00BA4108" w:rsidRDefault="00BA4108" w:rsidP="006A7EE7">
      <w:pPr>
        <w:spacing w:after="0" w:line="240" w:lineRule="auto"/>
      </w:pPr>
      <w:r>
        <w:continuationSeparator/>
      </w:r>
    </w:p>
  </w:endnote>
  <w:endnote w:type="continuationNotice" w:id="1">
    <w:p w:rsidR="00BA4108" w:rsidRDefault="00BA4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AE" w:rsidRDefault="00DD23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AE" w:rsidRDefault="00DD23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AE" w:rsidRDefault="00DD23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108" w:rsidRDefault="00BA4108" w:rsidP="006A7EE7">
      <w:pPr>
        <w:spacing w:after="0" w:line="240" w:lineRule="auto"/>
      </w:pPr>
      <w:r>
        <w:separator/>
      </w:r>
    </w:p>
  </w:footnote>
  <w:footnote w:type="continuationSeparator" w:id="0">
    <w:p w:rsidR="00BA4108" w:rsidRDefault="00BA4108" w:rsidP="006A7EE7">
      <w:pPr>
        <w:spacing w:after="0" w:line="240" w:lineRule="auto"/>
      </w:pPr>
      <w:r>
        <w:continuationSeparator/>
      </w:r>
    </w:p>
  </w:footnote>
  <w:footnote w:type="continuationNotice" w:id="1">
    <w:p w:rsidR="00BA4108" w:rsidRDefault="00BA4108">
      <w:pPr>
        <w:spacing w:after="0" w:line="240" w:lineRule="auto"/>
      </w:pPr>
    </w:p>
  </w:footnote>
  <w:footnote w:id="2">
    <w:p w:rsidR="003951D8" w:rsidRDefault="003951D8" w:rsidP="00F144C9">
      <w:pPr>
        <w:pStyle w:val="Textonotapie"/>
        <w:ind w:left="-284" w:right="-286"/>
        <w:jc w:val="both"/>
      </w:pPr>
      <w:r>
        <w:rPr>
          <w:rStyle w:val="Refdenotaalpie"/>
        </w:rPr>
        <w:footnoteRef/>
      </w:r>
      <w:r>
        <w:t xml:space="preserve"> Todas las fechas corresponden al año dos mil diecinueve, salvo precisión en contrario expresa.</w:t>
      </w:r>
    </w:p>
  </w:footnote>
  <w:footnote w:id="3">
    <w:p w:rsidR="003951D8" w:rsidRPr="007B4C5D" w:rsidRDefault="003951D8" w:rsidP="00F144C9">
      <w:pPr>
        <w:pStyle w:val="Textonotapie"/>
        <w:ind w:left="-284" w:right="-286"/>
        <w:jc w:val="both"/>
        <w:rPr>
          <w:rFonts w:ascii="Arial Nova" w:hAnsi="Arial Nova"/>
          <w:sz w:val="16"/>
          <w:szCs w:val="16"/>
        </w:rPr>
      </w:pPr>
      <w:r w:rsidRPr="007B4C5D">
        <w:rPr>
          <w:rStyle w:val="Refdenotaalpie"/>
          <w:rFonts w:ascii="Arial Nova" w:hAnsi="Arial Nova"/>
          <w:sz w:val="16"/>
          <w:szCs w:val="16"/>
        </w:rPr>
        <w:footnoteRef/>
      </w:r>
      <w:r w:rsidRPr="007B4C5D">
        <w:rPr>
          <w:rFonts w:ascii="Arial Nova" w:hAnsi="Arial Nova"/>
          <w:sz w:val="16"/>
          <w:szCs w:val="16"/>
        </w:rPr>
        <w:t xml:space="preserve"> Consultable en la URL: </w:t>
      </w:r>
      <w:hyperlink r:id="rId1" w:history="1">
        <w:r w:rsidRPr="007B4C5D">
          <w:rPr>
            <w:rStyle w:val="Hipervnculo"/>
            <w:rFonts w:ascii="Arial Nova" w:hAnsi="Arial Nova"/>
            <w:sz w:val="16"/>
            <w:szCs w:val="16"/>
          </w:rPr>
          <w:t>https://morena.si/wp-content/uploads/2019/03/FE-DE-ERRATAS-DICTAMEN-DE-APROBACI%C3%93N-1.pdf</w:t>
        </w:r>
      </w:hyperlink>
    </w:p>
  </w:footnote>
  <w:footnote w:id="4">
    <w:p w:rsidR="003951D8" w:rsidRPr="002B114A" w:rsidRDefault="003951D8" w:rsidP="00973F21">
      <w:pPr>
        <w:pStyle w:val="Textonotapie"/>
        <w:ind w:hanging="284"/>
        <w:rPr>
          <w:rFonts w:ascii="Arial" w:hAnsi="Arial" w:cs="Arial"/>
          <w:sz w:val="18"/>
          <w:szCs w:val="18"/>
        </w:rPr>
      </w:pPr>
      <w:r w:rsidRPr="00C433BE">
        <w:rPr>
          <w:rStyle w:val="Refdenotaalpie"/>
          <w:rFonts w:ascii="Arial" w:hAnsi="Arial" w:cs="Arial"/>
        </w:rPr>
        <w:footnoteRef/>
      </w:r>
      <w:r w:rsidRPr="00C433BE">
        <w:rPr>
          <w:rFonts w:ascii="Arial" w:hAnsi="Arial" w:cs="Arial"/>
        </w:rPr>
        <w:t xml:space="preserve"> </w:t>
      </w:r>
      <w:r w:rsidRPr="002B114A">
        <w:rPr>
          <w:rFonts w:ascii="Arial" w:hAnsi="Arial" w:cs="Arial"/>
          <w:sz w:val="18"/>
          <w:szCs w:val="18"/>
        </w:rPr>
        <w:t>El recurso de queja, en términos del artículo 54 del Estatuto de MORENA.</w:t>
      </w:r>
    </w:p>
  </w:footnote>
  <w:footnote w:id="5">
    <w:p w:rsidR="003951D8" w:rsidRPr="002B114A" w:rsidRDefault="003951D8" w:rsidP="00C433BE">
      <w:pPr>
        <w:spacing w:after="0" w:line="240" w:lineRule="auto"/>
        <w:ind w:left="-284"/>
        <w:jc w:val="both"/>
        <w:rPr>
          <w:rFonts w:ascii="Arial" w:hAnsi="Arial" w:cs="Arial"/>
          <w:sz w:val="18"/>
          <w:szCs w:val="18"/>
        </w:rPr>
      </w:pPr>
      <w:r w:rsidRPr="002B114A">
        <w:rPr>
          <w:rStyle w:val="Refdenotaalpie"/>
          <w:rFonts w:ascii="Arial" w:hAnsi="Arial" w:cs="Arial"/>
          <w:sz w:val="18"/>
          <w:szCs w:val="18"/>
        </w:rPr>
        <w:footnoteRef/>
      </w:r>
      <w:r w:rsidRPr="002B114A">
        <w:rPr>
          <w:rFonts w:ascii="Arial" w:hAnsi="Arial" w:cs="Arial"/>
          <w:sz w:val="18"/>
          <w:szCs w:val="18"/>
        </w:rPr>
        <w:t xml:space="preserve"> </w:t>
      </w:r>
      <w:r w:rsidRPr="002B114A">
        <w:rPr>
          <w:rFonts w:ascii="Arial" w:eastAsia="Times New Roman" w:hAnsi="Arial" w:cs="Arial"/>
          <w:bCs/>
          <w:sz w:val="18"/>
          <w:szCs w:val="18"/>
        </w:rPr>
        <w:t xml:space="preserve">Jurisprudencia 9/2001, sustentada por la Sala Superior del Tribunal Electoral del Poder Judicial de la Federación, de rubro siguiente: </w:t>
      </w:r>
      <w:r w:rsidRPr="002B114A">
        <w:rPr>
          <w:rFonts w:ascii="Arial" w:eastAsia="Times New Roman" w:hAnsi="Arial" w:cs="Arial"/>
          <w:b/>
          <w:bCs/>
          <w:sz w:val="18"/>
          <w:szCs w:val="18"/>
        </w:rPr>
        <w:t>“DEFINITIVIDAD Y FIRMEZA. SI EL AGOTAMIENTO DE LOS MEDIOS IMPUGNATIVOS ORDINARIOS IMPLICAN LA MERMA O EXTINCIÓN DE LA PRETENSIÓN DEL ACTOR, DEBE TENERSE POR CUMPLIDO EL REQUISITO.”</w:t>
      </w:r>
    </w:p>
  </w:footnote>
  <w:footnote w:id="6">
    <w:p w:rsidR="003951D8" w:rsidRPr="00C433BE" w:rsidRDefault="003951D8" w:rsidP="00C433BE">
      <w:pPr>
        <w:pStyle w:val="Textonotapie"/>
        <w:ind w:left="-284"/>
        <w:rPr>
          <w:rFonts w:ascii="Arial" w:hAnsi="Arial" w:cs="Arial"/>
        </w:rPr>
      </w:pPr>
      <w:r w:rsidRPr="00C433BE">
        <w:rPr>
          <w:rStyle w:val="Refdenotaalpie"/>
          <w:rFonts w:ascii="Arial" w:hAnsi="Arial" w:cs="Arial"/>
        </w:rPr>
        <w:footnoteRef/>
      </w:r>
      <w:r w:rsidRPr="00C433BE">
        <w:rPr>
          <w:rFonts w:ascii="Arial" w:hAnsi="Arial" w:cs="Arial"/>
        </w:rPr>
        <w:t xml:space="preserve"> Del cinco al once de abril.</w:t>
      </w:r>
    </w:p>
  </w:footnote>
  <w:footnote w:id="7">
    <w:p w:rsidR="003951D8" w:rsidRDefault="003951D8" w:rsidP="00C433BE">
      <w:pPr>
        <w:pStyle w:val="Textonotapie"/>
        <w:ind w:left="-284"/>
      </w:pPr>
      <w:r w:rsidRPr="00C433BE">
        <w:rPr>
          <w:rStyle w:val="Refdenotaalpie"/>
          <w:rFonts w:ascii="Arial" w:hAnsi="Arial" w:cs="Arial"/>
        </w:rPr>
        <w:footnoteRef/>
      </w:r>
      <w:r w:rsidRPr="00C433BE">
        <w:rPr>
          <w:rFonts w:ascii="Arial" w:hAnsi="Arial" w:cs="Arial"/>
        </w:rPr>
        <w:t xml:space="preserve"> Periodo que comprende del quince de abril al veintinueve de mayo.</w:t>
      </w:r>
    </w:p>
  </w:footnote>
  <w:footnote w:id="8">
    <w:p w:rsidR="003951D8" w:rsidRPr="002B114A" w:rsidRDefault="003951D8" w:rsidP="002B114A">
      <w:pPr>
        <w:pStyle w:val="NormalWeb"/>
        <w:spacing w:before="0" w:beforeAutospacing="0" w:after="0" w:afterAutospacing="0"/>
        <w:ind w:left="-284" w:right="-284"/>
        <w:contextualSpacing/>
        <w:mirrorIndents/>
        <w:jc w:val="both"/>
        <w:rPr>
          <w:sz w:val="20"/>
          <w:szCs w:val="20"/>
        </w:rPr>
      </w:pPr>
      <w:r w:rsidRPr="002B114A">
        <w:rPr>
          <w:rStyle w:val="Refdenotaalpie"/>
          <w:rFonts w:ascii="Arial" w:hAnsi="Arial" w:cs="Arial"/>
          <w:sz w:val="20"/>
          <w:szCs w:val="20"/>
        </w:rPr>
        <w:footnoteRef/>
      </w:r>
      <w:r w:rsidRPr="002B114A">
        <w:rPr>
          <w:rFonts w:ascii="Arial" w:hAnsi="Arial" w:cs="Arial"/>
          <w:sz w:val="20"/>
          <w:szCs w:val="20"/>
        </w:rPr>
        <w:t xml:space="preserve"> </w:t>
      </w:r>
      <w:bookmarkStart w:id="3" w:name="_Hlk6263844"/>
      <w:r w:rsidRPr="002B114A">
        <w:rPr>
          <w:rFonts w:ascii="Arial" w:hAnsi="Arial" w:cs="Arial"/>
          <w:sz w:val="20"/>
          <w:szCs w:val="20"/>
        </w:rPr>
        <w:t xml:space="preserve">Así ha sido establecido en la tesis </w:t>
      </w:r>
      <w:r w:rsidRPr="002B114A">
        <w:rPr>
          <w:rFonts w:ascii="Arial" w:eastAsia="Century Gothic" w:hAnsi="Arial" w:cs="Arial"/>
          <w:sz w:val="20"/>
          <w:szCs w:val="20"/>
        </w:rPr>
        <w:t>XVII.1o.C.T. J/10, de rubro:</w:t>
      </w:r>
      <w:r w:rsidRPr="002B114A">
        <w:rPr>
          <w:rFonts w:ascii="Arial" w:hAnsi="Arial" w:cs="Arial"/>
          <w:sz w:val="20"/>
          <w:szCs w:val="20"/>
        </w:rPr>
        <w:t xml:space="preserve"> </w:t>
      </w:r>
      <w:r w:rsidRPr="002B114A">
        <w:rPr>
          <w:rFonts w:ascii="Arial" w:eastAsia="Century Gothic" w:hAnsi="Arial" w:cs="Arial"/>
          <w:b/>
          <w:i/>
          <w:sz w:val="20"/>
          <w:szCs w:val="20"/>
        </w:rPr>
        <w:t>“CONCEPTOS DE VIOLACIÓN. SON INATENDIBLES AQUELLOS QUE COMBATEN CONSIDERACIONES O DETERMINACIONES QUE NO LE CAUSAN PERJUICIO AL QUEJOSO”</w:t>
      </w:r>
      <w:r w:rsidRPr="002B114A">
        <w:rPr>
          <w:rFonts w:ascii="Arial" w:eastAsia="Century Gothic" w:hAnsi="Arial" w:cs="Arial"/>
          <w:sz w:val="20"/>
          <w:szCs w:val="20"/>
        </w:rPr>
        <w:t xml:space="preserve">, sustentada por Primer Tribunal Colegiado en Materias Civil y de Trabajo del Décimo Séptimo Circuito, consultable en la Gaceta del Semanario Judicial de la Federación, Libro 34, </w:t>
      </w:r>
      <w:proofErr w:type="gramStart"/>
      <w:r w:rsidRPr="002B114A">
        <w:rPr>
          <w:rFonts w:ascii="Arial" w:eastAsia="Century Gothic" w:hAnsi="Arial" w:cs="Arial"/>
          <w:sz w:val="20"/>
          <w:szCs w:val="20"/>
        </w:rPr>
        <w:t>Septiembre</w:t>
      </w:r>
      <w:proofErr w:type="gramEnd"/>
      <w:r w:rsidRPr="002B114A">
        <w:rPr>
          <w:rFonts w:ascii="Arial" w:eastAsia="Century Gothic" w:hAnsi="Arial" w:cs="Arial"/>
          <w:sz w:val="20"/>
          <w:szCs w:val="20"/>
        </w:rPr>
        <w:t xml:space="preserve"> de 2016, Tomo IV, décima época, página 2380. </w:t>
      </w:r>
      <w:bookmarkEnd w:id="3"/>
    </w:p>
  </w:footnote>
  <w:footnote w:id="9">
    <w:p w:rsidR="003951D8" w:rsidRPr="002B114A" w:rsidRDefault="003951D8" w:rsidP="002B114A">
      <w:pPr>
        <w:pStyle w:val="Textonotapie"/>
        <w:ind w:left="-284"/>
        <w:rPr>
          <w:rFonts w:ascii="Arial" w:hAnsi="Arial" w:cs="Arial"/>
        </w:rPr>
      </w:pPr>
      <w:r w:rsidRPr="002B114A">
        <w:rPr>
          <w:rStyle w:val="Refdenotaalpie"/>
          <w:rFonts w:ascii="Arial" w:hAnsi="Arial" w:cs="Arial"/>
        </w:rPr>
        <w:footnoteRef/>
      </w:r>
      <w:r w:rsidRPr="002B114A">
        <w:rPr>
          <w:rFonts w:ascii="Arial" w:hAnsi="Arial" w:cs="Arial"/>
        </w:rPr>
        <w:t xml:space="preserve"> Artículo 44°. De los Estatutos de Morena.</w:t>
      </w:r>
    </w:p>
  </w:footnote>
  <w:footnote w:id="10">
    <w:p w:rsidR="003951D8" w:rsidRPr="0074265B" w:rsidRDefault="003951D8" w:rsidP="002C0055">
      <w:pPr>
        <w:pStyle w:val="Textonotapie"/>
        <w:rPr>
          <w:rFonts w:ascii="Arial" w:hAnsi="Arial" w:cs="Arial"/>
          <w:i/>
          <w:sz w:val="16"/>
          <w:szCs w:val="16"/>
        </w:rPr>
      </w:pPr>
      <w:r w:rsidRPr="0074265B">
        <w:rPr>
          <w:rStyle w:val="Refdenotaalpie"/>
          <w:rFonts w:ascii="Arial" w:hAnsi="Arial" w:cs="Arial"/>
          <w:i/>
          <w:sz w:val="16"/>
          <w:szCs w:val="16"/>
        </w:rPr>
        <w:footnoteRef/>
      </w:r>
      <w:r w:rsidRPr="0074265B">
        <w:rPr>
          <w:rFonts w:ascii="Arial" w:hAnsi="Arial" w:cs="Arial"/>
          <w:i/>
          <w:sz w:val="16"/>
          <w:szCs w:val="16"/>
        </w:rPr>
        <w:t xml:space="preserve"> SUP-JDC-864/2013</w:t>
      </w:r>
      <w:r>
        <w:rPr>
          <w:rFonts w:ascii="Arial" w:hAnsi="Arial" w:cs="Arial"/>
          <w:i/>
          <w:sz w:val="16"/>
          <w:szCs w:val="16"/>
        </w:rPr>
        <w:t>.</w:t>
      </w:r>
    </w:p>
  </w:footnote>
  <w:footnote w:id="11">
    <w:p w:rsidR="002F1C12" w:rsidRDefault="002F1C12">
      <w:pPr>
        <w:pStyle w:val="Textonotapie"/>
      </w:pPr>
      <w:r>
        <w:rPr>
          <w:rStyle w:val="Refdenotaalpie"/>
        </w:rPr>
        <w:footnoteRef/>
      </w:r>
      <w:r>
        <w:t xml:space="preserve"> En su resolución JDC-112/2019.</w:t>
      </w:r>
    </w:p>
  </w:footnote>
  <w:footnote w:id="12">
    <w:p w:rsidR="002D55C0" w:rsidRDefault="002D55C0" w:rsidP="002D55C0">
      <w:pPr>
        <w:pStyle w:val="Textonotapie"/>
        <w:ind w:hanging="284"/>
      </w:pPr>
      <w:r>
        <w:rPr>
          <w:rStyle w:val="Refdenotaalpie"/>
        </w:rPr>
        <w:footnoteRef/>
      </w:r>
      <w:r>
        <w:t xml:space="preserve"> </w:t>
      </w:r>
      <w:r w:rsidRPr="002D55C0">
        <w:rPr>
          <w:rFonts w:ascii="Arial" w:hAnsi="Arial" w:cs="Arial"/>
        </w:rPr>
        <w:t>Artículo 144, fracción II del Código Electoral.</w:t>
      </w:r>
    </w:p>
  </w:footnote>
  <w:footnote w:id="13">
    <w:p w:rsidR="003951D8" w:rsidRPr="009F2B6A" w:rsidRDefault="003951D8" w:rsidP="00384985">
      <w:pPr>
        <w:pStyle w:val="Textonotapie"/>
        <w:ind w:left="-284" w:right="-286"/>
        <w:jc w:val="both"/>
        <w:rPr>
          <w:rFonts w:ascii="Arial" w:hAnsi="Arial" w:cs="Arial"/>
        </w:rPr>
      </w:pPr>
      <w:r>
        <w:rPr>
          <w:rStyle w:val="Refdenotaalpie"/>
        </w:rPr>
        <w:footnoteRef/>
      </w:r>
      <w:r>
        <w:t xml:space="preserve"> </w:t>
      </w:r>
      <w:r>
        <w:rPr>
          <w:rFonts w:ascii="Arial" w:hAnsi="Arial" w:cs="Arial"/>
        </w:rPr>
        <w:t>D</w:t>
      </w:r>
      <w:r w:rsidRPr="009F2B6A">
        <w:rPr>
          <w:rFonts w:ascii="Arial" w:hAnsi="Arial" w:cs="Arial"/>
        </w:rPr>
        <w:t>ocumentales pública, que conforme a lo dispuesto por el artículo 256</w:t>
      </w:r>
      <w:r>
        <w:rPr>
          <w:rFonts w:ascii="Arial" w:hAnsi="Arial" w:cs="Arial"/>
        </w:rPr>
        <w:t xml:space="preserve"> del Código Electoral, constituye una prueba plena, la que además se robustece con las documentales públicas consistentes en los acuses de recibo de los escritos presentados por los actores.</w:t>
      </w:r>
    </w:p>
  </w:footnote>
  <w:footnote w:id="14">
    <w:p w:rsidR="003951D8" w:rsidRDefault="003951D8" w:rsidP="00384985">
      <w:pPr>
        <w:pStyle w:val="Textonotapie"/>
        <w:ind w:left="-284" w:right="-286"/>
        <w:jc w:val="both"/>
      </w:pPr>
      <w:r>
        <w:rPr>
          <w:rStyle w:val="Refdenotaalpie"/>
        </w:rPr>
        <w:footnoteRef/>
      </w:r>
      <w:r>
        <w:t xml:space="preserve"> </w:t>
      </w:r>
      <w:r w:rsidRPr="00057F9D">
        <w:rPr>
          <w:rFonts w:ascii="Arial" w:hAnsi="Arial" w:cs="Arial"/>
        </w:rPr>
        <w:t>Tesis XXI.1o.P.A. J/27 sustentada por el Primer Tribunal Colegiado en Materias Penal y Administrativa del Vigésimo Primer Circuito, consultable en el Semanario Judicial de la Federación y su Gaceta, tomo XXXIII, marzo de 2011, novena época, página 2167.</w:t>
      </w:r>
    </w:p>
  </w:footnote>
  <w:footnote w:id="15">
    <w:p w:rsidR="003951D8" w:rsidRDefault="003951D8" w:rsidP="00EC21B1">
      <w:pPr>
        <w:pStyle w:val="Textonotapie"/>
        <w:ind w:left="-284" w:right="-286"/>
        <w:jc w:val="both"/>
      </w:pPr>
      <w:r>
        <w:rPr>
          <w:rStyle w:val="Refdenotaalpie"/>
        </w:rPr>
        <w:footnoteRef/>
      </w:r>
      <w:r>
        <w:t xml:space="preserve"> </w:t>
      </w:r>
      <w:r w:rsidRPr="009F4096">
        <w:rPr>
          <w:rFonts w:ascii="Arial" w:hAnsi="Arial" w:cs="Arial"/>
        </w:rPr>
        <w:t>Consultable en la Gaceta de Jurisprudencia y Tesis en materia electoral, Tribunal Electoral del Poder Judicial de la Federación, Año 1, Número 1, 2008, páginas 19 y 20.</w:t>
      </w:r>
      <w:r w:rsidRPr="003643B9">
        <w:rPr>
          <w:rFonts w:ascii="Arial" w:hAnsi="Arial" w:cs="Arial"/>
          <w:sz w:val="24"/>
          <w:szCs w:val="24"/>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AE" w:rsidRDefault="00DD23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0813" o:spid="_x0000_s2050" type="#_x0000_t136" style="position:absolute;margin-left:0;margin-top:0;width:439.55pt;height:11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1D8" w:rsidRDefault="00DD23AE" w:rsidP="001A037E">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0814" o:spid="_x0000_s2051" type="#_x0000_t136" style="position:absolute;left:0;text-align:left;margin-left:0;margin-top:0;width:439.55pt;height:11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3951D8">
      <w:rPr>
        <w:rFonts w:ascii="Arial" w:hAnsi="Arial" w:cs="Arial"/>
        <w:b/>
        <w:sz w:val="18"/>
        <w:szCs w:val="18"/>
      </w:rPr>
      <w:t xml:space="preserve">                                                               </w:t>
    </w:r>
  </w:p>
  <w:p w:rsidR="003951D8" w:rsidRDefault="003951D8" w:rsidP="001A037E">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1B5A28EB" wp14:editId="6CE08BCC">
          <wp:simplePos x="0" y="0"/>
          <wp:positionH relativeFrom="margin">
            <wp:posOffset>-585437</wp:posOffset>
          </wp:positionH>
          <wp:positionV relativeFrom="paragraph">
            <wp:posOffset>206508</wp:posOffset>
          </wp:positionV>
          <wp:extent cx="1180011" cy="1404745"/>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3951D8" w:rsidRPr="00A46BD3" w:rsidRDefault="00BA4108" w:rsidP="001A037E">
    <w:pPr>
      <w:pStyle w:val="Encabezado"/>
      <w:rPr>
        <w:rFonts w:ascii="Century Gothic" w:hAnsi="Century Gothic"/>
      </w:rPr>
    </w:pPr>
    <w:sdt>
      <w:sdtPr>
        <w:rPr>
          <w:rFonts w:ascii="Century Gothic" w:hAnsi="Century Gothic"/>
        </w:rPr>
        <w:id w:val="1572081264"/>
        <w:docPartObj>
          <w:docPartGallery w:val="Page Numbers (Margins)"/>
          <w:docPartUnique/>
        </w:docPartObj>
      </w:sdtPr>
      <w:sdtEndPr/>
      <w:sdtContent>
        <w:r w:rsidR="003951D8" w:rsidRPr="00932419">
          <w:rPr>
            <w:rFonts w:ascii="Century Gothic" w:hAnsi="Century Gothic"/>
            <w:noProof/>
          </w:rPr>
          <mc:AlternateContent>
            <mc:Choice Requires="wps">
              <w:drawing>
                <wp:anchor distT="0" distB="0" distL="114300" distR="114300" simplePos="0" relativeHeight="251659264" behindDoc="0" locked="0" layoutInCell="0" allowOverlap="1" wp14:anchorId="7D5FF56F" wp14:editId="6557ABEB">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774988473"/>
                                <w:docPartObj>
                                  <w:docPartGallery w:val="Page Numbers (Margins)"/>
                                  <w:docPartUnique/>
                                </w:docPartObj>
                              </w:sdtPr>
                              <w:sdtEndPr/>
                              <w:sdtContent>
                                <w:p w:rsidR="003951D8" w:rsidRPr="00932419" w:rsidRDefault="003951D8">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1E4CD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F56F"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774988473"/>
                          <w:docPartObj>
                            <w:docPartGallery w:val="Page Numbers (Margins)"/>
                            <w:docPartUnique/>
                          </w:docPartObj>
                        </w:sdtPr>
                        <w:sdtContent>
                          <w:p w:rsidR="003951D8" w:rsidRPr="00932419" w:rsidRDefault="003951D8">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1E4CD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AE" w:rsidRDefault="00DD23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0812" o:spid="_x0000_s2049" type="#_x0000_t136" style="position:absolute;margin-left:0;margin-top:0;width:439.55pt;height:11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DC2BA2"/>
    <w:multiLevelType w:val="hybridMultilevel"/>
    <w:tmpl w:val="2CF88A20"/>
    <w:lvl w:ilvl="0" w:tplc="080A0001">
      <w:start w:val="1"/>
      <w:numFmt w:val="bullet"/>
      <w:lvlText w:val=""/>
      <w:lvlJc w:val="left"/>
      <w:pPr>
        <w:ind w:left="2595" w:hanging="360"/>
      </w:pPr>
      <w:rPr>
        <w:rFonts w:ascii="Symbol" w:hAnsi="Symbol" w:hint="default"/>
      </w:rPr>
    </w:lvl>
    <w:lvl w:ilvl="1" w:tplc="080A0003" w:tentative="1">
      <w:start w:val="1"/>
      <w:numFmt w:val="bullet"/>
      <w:lvlText w:val="o"/>
      <w:lvlJc w:val="left"/>
      <w:pPr>
        <w:ind w:left="3315" w:hanging="360"/>
      </w:pPr>
      <w:rPr>
        <w:rFonts w:ascii="Courier New" w:hAnsi="Courier New" w:cs="Courier New" w:hint="default"/>
      </w:rPr>
    </w:lvl>
    <w:lvl w:ilvl="2" w:tplc="080A0005" w:tentative="1">
      <w:start w:val="1"/>
      <w:numFmt w:val="bullet"/>
      <w:lvlText w:val=""/>
      <w:lvlJc w:val="left"/>
      <w:pPr>
        <w:ind w:left="4035" w:hanging="360"/>
      </w:pPr>
      <w:rPr>
        <w:rFonts w:ascii="Wingdings" w:hAnsi="Wingdings" w:hint="default"/>
      </w:rPr>
    </w:lvl>
    <w:lvl w:ilvl="3" w:tplc="080A0001" w:tentative="1">
      <w:start w:val="1"/>
      <w:numFmt w:val="bullet"/>
      <w:lvlText w:val=""/>
      <w:lvlJc w:val="left"/>
      <w:pPr>
        <w:ind w:left="4755" w:hanging="360"/>
      </w:pPr>
      <w:rPr>
        <w:rFonts w:ascii="Symbol" w:hAnsi="Symbol" w:hint="default"/>
      </w:rPr>
    </w:lvl>
    <w:lvl w:ilvl="4" w:tplc="080A0003" w:tentative="1">
      <w:start w:val="1"/>
      <w:numFmt w:val="bullet"/>
      <w:lvlText w:val="o"/>
      <w:lvlJc w:val="left"/>
      <w:pPr>
        <w:ind w:left="5475" w:hanging="360"/>
      </w:pPr>
      <w:rPr>
        <w:rFonts w:ascii="Courier New" w:hAnsi="Courier New" w:cs="Courier New" w:hint="default"/>
      </w:rPr>
    </w:lvl>
    <w:lvl w:ilvl="5" w:tplc="080A0005" w:tentative="1">
      <w:start w:val="1"/>
      <w:numFmt w:val="bullet"/>
      <w:lvlText w:val=""/>
      <w:lvlJc w:val="left"/>
      <w:pPr>
        <w:ind w:left="6195" w:hanging="360"/>
      </w:pPr>
      <w:rPr>
        <w:rFonts w:ascii="Wingdings" w:hAnsi="Wingdings" w:hint="default"/>
      </w:rPr>
    </w:lvl>
    <w:lvl w:ilvl="6" w:tplc="080A0001" w:tentative="1">
      <w:start w:val="1"/>
      <w:numFmt w:val="bullet"/>
      <w:lvlText w:val=""/>
      <w:lvlJc w:val="left"/>
      <w:pPr>
        <w:ind w:left="6915" w:hanging="360"/>
      </w:pPr>
      <w:rPr>
        <w:rFonts w:ascii="Symbol" w:hAnsi="Symbol" w:hint="default"/>
      </w:rPr>
    </w:lvl>
    <w:lvl w:ilvl="7" w:tplc="080A0003" w:tentative="1">
      <w:start w:val="1"/>
      <w:numFmt w:val="bullet"/>
      <w:lvlText w:val="o"/>
      <w:lvlJc w:val="left"/>
      <w:pPr>
        <w:ind w:left="7635" w:hanging="360"/>
      </w:pPr>
      <w:rPr>
        <w:rFonts w:ascii="Courier New" w:hAnsi="Courier New" w:cs="Courier New" w:hint="default"/>
      </w:rPr>
    </w:lvl>
    <w:lvl w:ilvl="8" w:tplc="080A0005" w:tentative="1">
      <w:start w:val="1"/>
      <w:numFmt w:val="bullet"/>
      <w:lvlText w:val=""/>
      <w:lvlJc w:val="left"/>
      <w:pPr>
        <w:ind w:left="8355" w:hanging="360"/>
      </w:pPr>
      <w:rPr>
        <w:rFonts w:ascii="Wingdings" w:hAnsi="Wingdings" w:hint="default"/>
      </w:rPr>
    </w:lvl>
  </w:abstractNum>
  <w:abstractNum w:abstractNumId="2"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4" w15:restartNumberingAfterBreak="0">
    <w:nsid w:val="466B2AC0"/>
    <w:multiLevelType w:val="multilevel"/>
    <w:tmpl w:val="9A82E290"/>
    <w:lvl w:ilvl="0">
      <w:start w:val="1"/>
      <w:numFmt w:val="decimal"/>
      <w:lvlText w:val="%1."/>
      <w:lvlJc w:val="left"/>
      <w:pPr>
        <w:ind w:left="502"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47640B2C"/>
    <w:multiLevelType w:val="multilevel"/>
    <w:tmpl w:val="7FF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254DC"/>
    <w:multiLevelType w:val="hybridMultilevel"/>
    <w:tmpl w:val="B8B204F6"/>
    <w:lvl w:ilvl="0" w:tplc="C81684EC">
      <w:start w:val="1"/>
      <w:numFmt w:val="lowerLetter"/>
      <w:lvlText w:val="%1)"/>
      <w:lvlJc w:val="left"/>
      <w:pPr>
        <w:ind w:left="77" w:hanging="360"/>
      </w:pPr>
      <w:rPr>
        <w:rFonts w:hint="default"/>
        <w:b/>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7" w15:restartNumberingAfterBreak="0">
    <w:nsid w:val="53424F8A"/>
    <w:multiLevelType w:val="hybridMultilevel"/>
    <w:tmpl w:val="EA0EA9C4"/>
    <w:lvl w:ilvl="0" w:tplc="EDFA4210">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8" w15:restartNumberingAfterBreak="0">
    <w:nsid w:val="59FC4FF3"/>
    <w:multiLevelType w:val="hybridMultilevel"/>
    <w:tmpl w:val="46AA629C"/>
    <w:lvl w:ilvl="0" w:tplc="7F845758">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5DC80B50"/>
    <w:multiLevelType w:val="hybridMultilevel"/>
    <w:tmpl w:val="D76CD002"/>
    <w:lvl w:ilvl="0" w:tplc="5DE8E2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433AA7"/>
    <w:multiLevelType w:val="hybridMultilevel"/>
    <w:tmpl w:val="59707A26"/>
    <w:lvl w:ilvl="0" w:tplc="85CA0DDE">
      <w:start w:val="1"/>
      <w:numFmt w:val="bullet"/>
      <w:lvlText w:val="-"/>
      <w:lvlJc w:val="left"/>
      <w:pPr>
        <w:ind w:left="77" w:hanging="360"/>
      </w:pPr>
      <w:rPr>
        <w:rFonts w:ascii="Arial" w:eastAsia="Times New Roman" w:hAnsi="Arial" w:cs="Arial" w:hint="default"/>
      </w:rPr>
    </w:lvl>
    <w:lvl w:ilvl="1" w:tplc="080A0003" w:tentative="1">
      <w:start w:val="1"/>
      <w:numFmt w:val="bullet"/>
      <w:lvlText w:val="o"/>
      <w:lvlJc w:val="left"/>
      <w:pPr>
        <w:ind w:left="797" w:hanging="360"/>
      </w:pPr>
      <w:rPr>
        <w:rFonts w:ascii="Courier New" w:hAnsi="Courier New" w:cs="Courier New" w:hint="default"/>
      </w:rPr>
    </w:lvl>
    <w:lvl w:ilvl="2" w:tplc="080A0005" w:tentative="1">
      <w:start w:val="1"/>
      <w:numFmt w:val="bullet"/>
      <w:lvlText w:val=""/>
      <w:lvlJc w:val="left"/>
      <w:pPr>
        <w:ind w:left="1517" w:hanging="360"/>
      </w:pPr>
      <w:rPr>
        <w:rFonts w:ascii="Wingdings" w:hAnsi="Wingdings" w:hint="default"/>
      </w:rPr>
    </w:lvl>
    <w:lvl w:ilvl="3" w:tplc="080A0001" w:tentative="1">
      <w:start w:val="1"/>
      <w:numFmt w:val="bullet"/>
      <w:lvlText w:val=""/>
      <w:lvlJc w:val="left"/>
      <w:pPr>
        <w:ind w:left="2237" w:hanging="360"/>
      </w:pPr>
      <w:rPr>
        <w:rFonts w:ascii="Symbol" w:hAnsi="Symbol" w:hint="default"/>
      </w:rPr>
    </w:lvl>
    <w:lvl w:ilvl="4" w:tplc="080A0003" w:tentative="1">
      <w:start w:val="1"/>
      <w:numFmt w:val="bullet"/>
      <w:lvlText w:val="o"/>
      <w:lvlJc w:val="left"/>
      <w:pPr>
        <w:ind w:left="2957" w:hanging="360"/>
      </w:pPr>
      <w:rPr>
        <w:rFonts w:ascii="Courier New" w:hAnsi="Courier New" w:cs="Courier New" w:hint="default"/>
      </w:rPr>
    </w:lvl>
    <w:lvl w:ilvl="5" w:tplc="080A0005" w:tentative="1">
      <w:start w:val="1"/>
      <w:numFmt w:val="bullet"/>
      <w:lvlText w:val=""/>
      <w:lvlJc w:val="left"/>
      <w:pPr>
        <w:ind w:left="3677" w:hanging="360"/>
      </w:pPr>
      <w:rPr>
        <w:rFonts w:ascii="Wingdings" w:hAnsi="Wingdings" w:hint="default"/>
      </w:rPr>
    </w:lvl>
    <w:lvl w:ilvl="6" w:tplc="080A0001" w:tentative="1">
      <w:start w:val="1"/>
      <w:numFmt w:val="bullet"/>
      <w:lvlText w:val=""/>
      <w:lvlJc w:val="left"/>
      <w:pPr>
        <w:ind w:left="4397" w:hanging="360"/>
      </w:pPr>
      <w:rPr>
        <w:rFonts w:ascii="Symbol" w:hAnsi="Symbol" w:hint="default"/>
      </w:rPr>
    </w:lvl>
    <w:lvl w:ilvl="7" w:tplc="080A0003" w:tentative="1">
      <w:start w:val="1"/>
      <w:numFmt w:val="bullet"/>
      <w:lvlText w:val="o"/>
      <w:lvlJc w:val="left"/>
      <w:pPr>
        <w:ind w:left="5117" w:hanging="360"/>
      </w:pPr>
      <w:rPr>
        <w:rFonts w:ascii="Courier New" w:hAnsi="Courier New" w:cs="Courier New" w:hint="default"/>
      </w:rPr>
    </w:lvl>
    <w:lvl w:ilvl="8" w:tplc="080A0005" w:tentative="1">
      <w:start w:val="1"/>
      <w:numFmt w:val="bullet"/>
      <w:lvlText w:val=""/>
      <w:lvlJc w:val="left"/>
      <w:pPr>
        <w:ind w:left="583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9"/>
  </w:num>
  <w:num w:numId="7">
    <w:abstractNumId w:val="5"/>
  </w:num>
  <w:num w:numId="8">
    <w:abstractNumId w:val="8"/>
  </w:num>
  <w:num w:numId="9">
    <w:abstractNumId w:val="6"/>
  </w:num>
  <w:num w:numId="10">
    <w:abstractNumId w:val="7"/>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027BC"/>
    <w:rsid w:val="0000372F"/>
    <w:rsid w:val="00004249"/>
    <w:rsid w:val="0000665C"/>
    <w:rsid w:val="00006D01"/>
    <w:rsid w:val="000076E4"/>
    <w:rsid w:val="000129A6"/>
    <w:rsid w:val="00014988"/>
    <w:rsid w:val="00014D31"/>
    <w:rsid w:val="0001654A"/>
    <w:rsid w:val="00016D03"/>
    <w:rsid w:val="00017A7B"/>
    <w:rsid w:val="0002336D"/>
    <w:rsid w:val="00024D69"/>
    <w:rsid w:val="00024F6E"/>
    <w:rsid w:val="000256CC"/>
    <w:rsid w:val="00026847"/>
    <w:rsid w:val="00027886"/>
    <w:rsid w:val="00032A65"/>
    <w:rsid w:val="00035A80"/>
    <w:rsid w:val="00037E09"/>
    <w:rsid w:val="0004093C"/>
    <w:rsid w:val="000418BB"/>
    <w:rsid w:val="000420C5"/>
    <w:rsid w:val="00043921"/>
    <w:rsid w:val="00046E86"/>
    <w:rsid w:val="00047044"/>
    <w:rsid w:val="0005032D"/>
    <w:rsid w:val="00052338"/>
    <w:rsid w:val="000536D9"/>
    <w:rsid w:val="00054AFA"/>
    <w:rsid w:val="00055D60"/>
    <w:rsid w:val="00057CEF"/>
    <w:rsid w:val="00057F9D"/>
    <w:rsid w:val="00062CB9"/>
    <w:rsid w:val="00065A43"/>
    <w:rsid w:val="00065E1E"/>
    <w:rsid w:val="00066C41"/>
    <w:rsid w:val="000670E5"/>
    <w:rsid w:val="00075D73"/>
    <w:rsid w:val="00076013"/>
    <w:rsid w:val="000761AD"/>
    <w:rsid w:val="00077638"/>
    <w:rsid w:val="00092712"/>
    <w:rsid w:val="00092F6E"/>
    <w:rsid w:val="00094DCD"/>
    <w:rsid w:val="00095A22"/>
    <w:rsid w:val="000975EC"/>
    <w:rsid w:val="00097C13"/>
    <w:rsid w:val="000A0C6F"/>
    <w:rsid w:val="000A1644"/>
    <w:rsid w:val="000A1914"/>
    <w:rsid w:val="000A4FDA"/>
    <w:rsid w:val="000B1092"/>
    <w:rsid w:val="000B1EF5"/>
    <w:rsid w:val="000B2507"/>
    <w:rsid w:val="000B2D0D"/>
    <w:rsid w:val="000B3B4F"/>
    <w:rsid w:val="000B4179"/>
    <w:rsid w:val="000B5F1C"/>
    <w:rsid w:val="000C155D"/>
    <w:rsid w:val="000C5586"/>
    <w:rsid w:val="000C7C93"/>
    <w:rsid w:val="000D34F8"/>
    <w:rsid w:val="000D43CA"/>
    <w:rsid w:val="000D633C"/>
    <w:rsid w:val="000D722B"/>
    <w:rsid w:val="000E0205"/>
    <w:rsid w:val="000E29F0"/>
    <w:rsid w:val="000E3243"/>
    <w:rsid w:val="000E3F28"/>
    <w:rsid w:val="000E5A76"/>
    <w:rsid w:val="000E5ABE"/>
    <w:rsid w:val="000F473E"/>
    <w:rsid w:val="000F57AA"/>
    <w:rsid w:val="000F72B1"/>
    <w:rsid w:val="000F76F5"/>
    <w:rsid w:val="00101119"/>
    <w:rsid w:val="00101549"/>
    <w:rsid w:val="00102981"/>
    <w:rsid w:val="00103727"/>
    <w:rsid w:val="001038DE"/>
    <w:rsid w:val="00106EBC"/>
    <w:rsid w:val="00107B79"/>
    <w:rsid w:val="001105C4"/>
    <w:rsid w:val="00114D76"/>
    <w:rsid w:val="00116CC1"/>
    <w:rsid w:val="00123A61"/>
    <w:rsid w:val="00124DCD"/>
    <w:rsid w:val="00126195"/>
    <w:rsid w:val="00130533"/>
    <w:rsid w:val="001316A2"/>
    <w:rsid w:val="00135884"/>
    <w:rsid w:val="00135CCF"/>
    <w:rsid w:val="0013659F"/>
    <w:rsid w:val="00142EE4"/>
    <w:rsid w:val="001438B8"/>
    <w:rsid w:val="00144C48"/>
    <w:rsid w:val="00145902"/>
    <w:rsid w:val="00150A4D"/>
    <w:rsid w:val="00151AE0"/>
    <w:rsid w:val="00153202"/>
    <w:rsid w:val="001544D8"/>
    <w:rsid w:val="00155ED8"/>
    <w:rsid w:val="001561EB"/>
    <w:rsid w:val="00160EF0"/>
    <w:rsid w:val="00161BA8"/>
    <w:rsid w:val="0016203F"/>
    <w:rsid w:val="00163494"/>
    <w:rsid w:val="001665C1"/>
    <w:rsid w:val="001715CF"/>
    <w:rsid w:val="001727CF"/>
    <w:rsid w:val="00172F11"/>
    <w:rsid w:val="00175527"/>
    <w:rsid w:val="00181525"/>
    <w:rsid w:val="001818BF"/>
    <w:rsid w:val="00183336"/>
    <w:rsid w:val="00192434"/>
    <w:rsid w:val="00193204"/>
    <w:rsid w:val="001947BA"/>
    <w:rsid w:val="0019505C"/>
    <w:rsid w:val="00196F73"/>
    <w:rsid w:val="001A037E"/>
    <w:rsid w:val="001A1A96"/>
    <w:rsid w:val="001A4E8F"/>
    <w:rsid w:val="001A5D29"/>
    <w:rsid w:val="001A7317"/>
    <w:rsid w:val="001B1586"/>
    <w:rsid w:val="001B23B1"/>
    <w:rsid w:val="001B4746"/>
    <w:rsid w:val="001B4791"/>
    <w:rsid w:val="001B6307"/>
    <w:rsid w:val="001B647F"/>
    <w:rsid w:val="001B73FE"/>
    <w:rsid w:val="001C28DF"/>
    <w:rsid w:val="001C584B"/>
    <w:rsid w:val="001C6ECE"/>
    <w:rsid w:val="001D2D8A"/>
    <w:rsid w:val="001D2F6B"/>
    <w:rsid w:val="001D4201"/>
    <w:rsid w:val="001D5060"/>
    <w:rsid w:val="001D5341"/>
    <w:rsid w:val="001E012E"/>
    <w:rsid w:val="001E1099"/>
    <w:rsid w:val="001E132D"/>
    <w:rsid w:val="001E1AA9"/>
    <w:rsid w:val="001E4CD8"/>
    <w:rsid w:val="001E5DC7"/>
    <w:rsid w:val="001E75F8"/>
    <w:rsid w:val="001F09BB"/>
    <w:rsid w:val="001F0FCF"/>
    <w:rsid w:val="001F5855"/>
    <w:rsid w:val="001F5BF0"/>
    <w:rsid w:val="001F5DAA"/>
    <w:rsid w:val="001F5E64"/>
    <w:rsid w:val="001F76F6"/>
    <w:rsid w:val="001F7AF7"/>
    <w:rsid w:val="0020118C"/>
    <w:rsid w:val="00202538"/>
    <w:rsid w:val="00204651"/>
    <w:rsid w:val="00210172"/>
    <w:rsid w:val="00210A1E"/>
    <w:rsid w:val="00211F27"/>
    <w:rsid w:val="0021344E"/>
    <w:rsid w:val="002139C2"/>
    <w:rsid w:val="00215376"/>
    <w:rsid w:val="00220B63"/>
    <w:rsid w:val="0022500B"/>
    <w:rsid w:val="00226DA7"/>
    <w:rsid w:val="002302B4"/>
    <w:rsid w:val="002321B3"/>
    <w:rsid w:val="00233017"/>
    <w:rsid w:val="002335F2"/>
    <w:rsid w:val="00235B1F"/>
    <w:rsid w:val="00235E0D"/>
    <w:rsid w:val="0023663B"/>
    <w:rsid w:val="00237FBB"/>
    <w:rsid w:val="002409CC"/>
    <w:rsid w:val="00240D0B"/>
    <w:rsid w:val="0024335E"/>
    <w:rsid w:val="00243D12"/>
    <w:rsid w:val="002452EE"/>
    <w:rsid w:val="00246B5B"/>
    <w:rsid w:val="00246D2B"/>
    <w:rsid w:val="00250075"/>
    <w:rsid w:val="00252343"/>
    <w:rsid w:val="00252835"/>
    <w:rsid w:val="002547E9"/>
    <w:rsid w:val="00254E0E"/>
    <w:rsid w:val="002561A0"/>
    <w:rsid w:val="002561A1"/>
    <w:rsid w:val="00257AE7"/>
    <w:rsid w:val="002605CF"/>
    <w:rsid w:val="00262A4E"/>
    <w:rsid w:val="00262FB8"/>
    <w:rsid w:val="0026311E"/>
    <w:rsid w:val="002644CA"/>
    <w:rsid w:val="0026584B"/>
    <w:rsid w:val="00267593"/>
    <w:rsid w:val="0027094A"/>
    <w:rsid w:val="002712EE"/>
    <w:rsid w:val="00274CFA"/>
    <w:rsid w:val="00275335"/>
    <w:rsid w:val="002759D0"/>
    <w:rsid w:val="002768DC"/>
    <w:rsid w:val="00276EFA"/>
    <w:rsid w:val="00277B6E"/>
    <w:rsid w:val="0028002F"/>
    <w:rsid w:val="00281C42"/>
    <w:rsid w:val="00281CC5"/>
    <w:rsid w:val="002820E9"/>
    <w:rsid w:val="00283961"/>
    <w:rsid w:val="00284447"/>
    <w:rsid w:val="00287E70"/>
    <w:rsid w:val="002906F3"/>
    <w:rsid w:val="002916AE"/>
    <w:rsid w:val="00292175"/>
    <w:rsid w:val="00292E29"/>
    <w:rsid w:val="0029659E"/>
    <w:rsid w:val="00296672"/>
    <w:rsid w:val="002A2D40"/>
    <w:rsid w:val="002A5DE8"/>
    <w:rsid w:val="002A6E2F"/>
    <w:rsid w:val="002A7357"/>
    <w:rsid w:val="002B0821"/>
    <w:rsid w:val="002B0997"/>
    <w:rsid w:val="002B114A"/>
    <w:rsid w:val="002B18FE"/>
    <w:rsid w:val="002B61BE"/>
    <w:rsid w:val="002B7259"/>
    <w:rsid w:val="002C0055"/>
    <w:rsid w:val="002C05EB"/>
    <w:rsid w:val="002C416D"/>
    <w:rsid w:val="002C7944"/>
    <w:rsid w:val="002D09A9"/>
    <w:rsid w:val="002D0BC3"/>
    <w:rsid w:val="002D0F8F"/>
    <w:rsid w:val="002D2AB9"/>
    <w:rsid w:val="002D2C7E"/>
    <w:rsid w:val="002D33A7"/>
    <w:rsid w:val="002D3612"/>
    <w:rsid w:val="002D456D"/>
    <w:rsid w:val="002D55C0"/>
    <w:rsid w:val="002D6396"/>
    <w:rsid w:val="002D7CAC"/>
    <w:rsid w:val="002E12D4"/>
    <w:rsid w:val="002E1EEE"/>
    <w:rsid w:val="002E41C6"/>
    <w:rsid w:val="002E627C"/>
    <w:rsid w:val="002F1C12"/>
    <w:rsid w:val="002F2417"/>
    <w:rsid w:val="002F27D7"/>
    <w:rsid w:val="002F2CD0"/>
    <w:rsid w:val="002F5A29"/>
    <w:rsid w:val="002F7FAF"/>
    <w:rsid w:val="00300024"/>
    <w:rsid w:val="00301858"/>
    <w:rsid w:val="003026E7"/>
    <w:rsid w:val="003041BB"/>
    <w:rsid w:val="003045F0"/>
    <w:rsid w:val="003049DB"/>
    <w:rsid w:val="003100C9"/>
    <w:rsid w:val="003100FC"/>
    <w:rsid w:val="0031057B"/>
    <w:rsid w:val="00311C87"/>
    <w:rsid w:val="00314209"/>
    <w:rsid w:val="003156AF"/>
    <w:rsid w:val="00316EEC"/>
    <w:rsid w:val="003205B6"/>
    <w:rsid w:val="003218AC"/>
    <w:rsid w:val="00322B7D"/>
    <w:rsid w:val="00323242"/>
    <w:rsid w:val="00323917"/>
    <w:rsid w:val="003239E9"/>
    <w:rsid w:val="00325955"/>
    <w:rsid w:val="003261AF"/>
    <w:rsid w:val="00326BF6"/>
    <w:rsid w:val="003300B8"/>
    <w:rsid w:val="00330393"/>
    <w:rsid w:val="00331052"/>
    <w:rsid w:val="0033110F"/>
    <w:rsid w:val="00331E3B"/>
    <w:rsid w:val="00332E82"/>
    <w:rsid w:val="003338EA"/>
    <w:rsid w:val="00334238"/>
    <w:rsid w:val="00335C91"/>
    <w:rsid w:val="0033615F"/>
    <w:rsid w:val="003370BB"/>
    <w:rsid w:val="00340847"/>
    <w:rsid w:val="0034319E"/>
    <w:rsid w:val="00347773"/>
    <w:rsid w:val="00347FAC"/>
    <w:rsid w:val="003516C4"/>
    <w:rsid w:val="00352717"/>
    <w:rsid w:val="0035326A"/>
    <w:rsid w:val="00357A5D"/>
    <w:rsid w:val="00357F27"/>
    <w:rsid w:val="003618D0"/>
    <w:rsid w:val="00363ABC"/>
    <w:rsid w:val="00364F93"/>
    <w:rsid w:val="0036630F"/>
    <w:rsid w:val="003669C2"/>
    <w:rsid w:val="0037279D"/>
    <w:rsid w:val="00375F6A"/>
    <w:rsid w:val="00381A02"/>
    <w:rsid w:val="00382B70"/>
    <w:rsid w:val="00383259"/>
    <w:rsid w:val="00383D0E"/>
    <w:rsid w:val="00384985"/>
    <w:rsid w:val="00385085"/>
    <w:rsid w:val="003863D6"/>
    <w:rsid w:val="003868D4"/>
    <w:rsid w:val="0038780E"/>
    <w:rsid w:val="0039000A"/>
    <w:rsid w:val="0039032E"/>
    <w:rsid w:val="00390F47"/>
    <w:rsid w:val="00391EE0"/>
    <w:rsid w:val="003951D8"/>
    <w:rsid w:val="00395654"/>
    <w:rsid w:val="003A01D1"/>
    <w:rsid w:val="003A3371"/>
    <w:rsid w:val="003A40BB"/>
    <w:rsid w:val="003A49AA"/>
    <w:rsid w:val="003B0CDA"/>
    <w:rsid w:val="003B17AC"/>
    <w:rsid w:val="003B4BDA"/>
    <w:rsid w:val="003B5729"/>
    <w:rsid w:val="003C174A"/>
    <w:rsid w:val="003C332E"/>
    <w:rsid w:val="003C4C2B"/>
    <w:rsid w:val="003C5F05"/>
    <w:rsid w:val="003D2B23"/>
    <w:rsid w:val="003D2D0E"/>
    <w:rsid w:val="003D357C"/>
    <w:rsid w:val="003D697C"/>
    <w:rsid w:val="003E13B4"/>
    <w:rsid w:val="003E195A"/>
    <w:rsid w:val="003E60F4"/>
    <w:rsid w:val="003E73EF"/>
    <w:rsid w:val="003F0721"/>
    <w:rsid w:val="003F0F3D"/>
    <w:rsid w:val="003F109C"/>
    <w:rsid w:val="003F392C"/>
    <w:rsid w:val="003F3DCF"/>
    <w:rsid w:val="003F56EC"/>
    <w:rsid w:val="003F5E36"/>
    <w:rsid w:val="00400A51"/>
    <w:rsid w:val="00401FB2"/>
    <w:rsid w:val="00402B35"/>
    <w:rsid w:val="0041009E"/>
    <w:rsid w:val="004111B1"/>
    <w:rsid w:val="00414197"/>
    <w:rsid w:val="00415C2F"/>
    <w:rsid w:val="00415EC1"/>
    <w:rsid w:val="0042070F"/>
    <w:rsid w:val="00421AD2"/>
    <w:rsid w:val="00421CA6"/>
    <w:rsid w:val="00422D3E"/>
    <w:rsid w:val="00424FDA"/>
    <w:rsid w:val="00426859"/>
    <w:rsid w:val="0043168D"/>
    <w:rsid w:val="004332D0"/>
    <w:rsid w:val="004342C4"/>
    <w:rsid w:val="00434DF2"/>
    <w:rsid w:val="00435A84"/>
    <w:rsid w:val="00437AB1"/>
    <w:rsid w:val="004406FB"/>
    <w:rsid w:val="00440C50"/>
    <w:rsid w:val="004415C7"/>
    <w:rsid w:val="0044255F"/>
    <w:rsid w:val="004426F9"/>
    <w:rsid w:val="00443A7E"/>
    <w:rsid w:val="00447F0C"/>
    <w:rsid w:val="00450FC3"/>
    <w:rsid w:val="00452251"/>
    <w:rsid w:val="00453158"/>
    <w:rsid w:val="004552E1"/>
    <w:rsid w:val="00462BAC"/>
    <w:rsid w:val="00462FE7"/>
    <w:rsid w:val="00471C81"/>
    <w:rsid w:val="0047247D"/>
    <w:rsid w:val="00473BFF"/>
    <w:rsid w:val="00474470"/>
    <w:rsid w:val="00474EFF"/>
    <w:rsid w:val="00475A2B"/>
    <w:rsid w:val="0047714D"/>
    <w:rsid w:val="00477C47"/>
    <w:rsid w:val="0048074B"/>
    <w:rsid w:val="00480F6F"/>
    <w:rsid w:val="00482D71"/>
    <w:rsid w:val="00482F30"/>
    <w:rsid w:val="004833DC"/>
    <w:rsid w:val="00483964"/>
    <w:rsid w:val="00484625"/>
    <w:rsid w:val="00484687"/>
    <w:rsid w:val="00484F59"/>
    <w:rsid w:val="004859E2"/>
    <w:rsid w:val="00486724"/>
    <w:rsid w:val="00486F8C"/>
    <w:rsid w:val="0048750B"/>
    <w:rsid w:val="00487DF3"/>
    <w:rsid w:val="00487F27"/>
    <w:rsid w:val="0049180D"/>
    <w:rsid w:val="004923E3"/>
    <w:rsid w:val="004927F2"/>
    <w:rsid w:val="0049330B"/>
    <w:rsid w:val="004A0854"/>
    <w:rsid w:val="004A4B97"/>
    <w:rsid w:val="004A5D66"/>
    <w:rsid w:val="004B0E03"/>
    <w:rsid w:val="004B1F61"/>
    <w:rsid w:val="004B2FAB"/>
    <w:rsid w:val="004B4499"/>
    <w:rsid w:val="004B47CF"/>
    <w:rsid w:val="004B6E7E"/>
    <w:rsid w:val="004B74D0"/>
    <w:rsid w:val="004C024A"/>
    <w:rsid w:val="004C02C7"/>
    <w:rsid w:val="004C15F4"/>
    <w:rsid w:val="004C23DE"/>
    <w:rsid w:val="004C483D"/>
    <w:rsid w:val="004C6A73"/>
    <w:rsid w:val="004D19D7"/>
    <w:rsid w:val="004D2126"/>
    <w:rsid w:val="004D2B40"/>
    <w:rsid w:val="004D66AE"/>
    <w:rsid w:val="004D7105"/>
    <w:rsid w:val="004D7882"/>
    <w:rsid w:val="004E0401"/>
    <w:rsid w:val="004E067F"/>
    <w:rsid w:val="004E4084"/>
    <w:rsid w:val="004E44F6"/>
    <w:rsid w:val="004E7276"/>
    <w:rsid w:val="004F0228"/>
    <w:rsid w:val="004F0350"/>
    <w:rsid w:val="004F12EF"/>
    <w:rsid w:val="004F1E89"/>
    <w:rsid w:val="004F23B5"/>
    <w:rsid w:val="004F27FC"/>
    <w:rsid w:val="004F2E61"/>
    <w:rsid w:val="004F541B"/>
    <w:rsid w:val="004F694F"/>
    <w:rsid w:val="004F7E5C"/>
    <w:rsid w:val="0050088D"/>
    <w:rsid w:val="00502F75"/>
    <w:rsid w:val="0051021F"/>
    <w:rsid w:val="00512FDD"/>
    <w:rsid w:val="00513691"/>
    <w:rsid w:val="00513AE6"/>
    <w:rsid w:val="0052081A"/>
    <w:rsid w:val="00520A1E"/>
    <w:rsid w:val="00521329"/>
    <w:rsid w:val="00521A84"/>
    <w:rsid w:val="00523286"/>
    <w:rsid w:val="00523997"/>
    <w:rsid w:val="0052489F"/>
    <w:rsid w:val="005258E3"/>
    <w:rsid w:val="00527330"/>
    <w:rsid w:val="00527A10"/>
    <w:rsid w:val="00530E58"/>
    <w:rsid w:val="00532101"/>
    <w:rsid w:val="00532398"/>
    <w:rsid w:val="005324D6"/>
    <w:rsid w:val="00532533"/>
    <w:rsid w:val="00537912"/>
    <w:rsid w:val="00537E1C"/>
    <w:rsid w:val="005402F8"/>
    <w:rsid w:val="005407A1"/>
    <w:rsid w:val="0054264F"/>
    <w:rsid w:val="0054302A"/>
    <w:rsid w:val="005449BE"/>
    <w:rsid w:val="005550F4"/>
    <w:rsid w:val="00555639"/>
    <w:rsid w:val="00555A65"/>
    <w:rsid w:val="005573C1"/>
    <w:rsid w:val="00560B86"/>
    <w:rsid w:val="00561B82"/>
    <w:rsid w:val="005624B4"/>
    <w:rsid w:val="00563171"/>
    <w:rsid w:val="005638E9"/>
    <w:rsid w:val="0056428E"/>
    <w:rsid w:val="00570417"/>
    <w:rsid w:val="00577241"/>
    <w:rsid w:val="005830FA"/>
    <w:rsid w:val="00583372"/>
    <w:rsid w:val="0058470D"/>
    <w:rsid w:val="00584C22"/>
    <w:rsid w:val="00586595"/>
    <w:rsid w:val="005915B7"/>
    <w:rsid w:val="00591EDB"/>
    <w:rsid w:val="005975F3"/>
    <w:rsid w:val="005A0F4B"/>
    <w:rsid w:val="005A24EC"/>
    <w:rsid w:val="005A4D95"/>
    <w:rsid w:val="005B1504"/>
    <w:rsid w:val="005B3CEB"/>
    <w:rsid w:val="005B4072"/>
    <w:rsid w:val="005B44B9"/>
    <w:rsid w:val="005B5002"/>
    <w:rsid w:val="005B523F"/>
    <w:rsid w:val="005B6718"/>
    <w:rsid w:val="005B6A4F"/>
    <w:rsid w:val="005B74BD"/>
    <w:rsid w:val="005C0D99"/>
    <w:rsid w:val="005C2A28"/>
    <w:rsid w:val="005C2F4B"/>
    <w:rsid w:val="005C35CB"/>
    <w:rsid w:val="005C4B1B"/>
    <w:rsid w:val="005C4F1C"/>
    <w:rsid w:val="005C6119"/>
    <w:rsid w:val="005D0237"/>
    <w:rsid w:val="005D1C29"/>
    <w:rsid w:val="005D45A1"/>
    <w:rsid w:val="005D6A45"/>
    <w:rsid w:val="005D7EBD"/>
    <w:rsid w:val="005E227C"/>
    <w:rsid w:val="005E4D3E"/>
    <w:rsid w:val="005E5105"/>
    <w:rsid w:val="005E7B9E"/>
    <w:rsid w:val="005F08D4"/>
    <w:rsid w:val="005F21DD"/>
    <w:rsid w:val="005F3D90"/>
    <w:rsid w:val="005F5AAC"/>
    <w:rsid w:val="005F7427"/>
    <w:rsid w:val="0060279A"/>
    <w:rsid w:val="00604466"/>
    <w:rsid w:val="00605EDB"/>
    <w:rsid w:val="00607793"/>
    <w:rsid w:val="006102DF"/>
    <w:rsid w:val="00610565"/>
    <w:rsid w:val="00620745"/>
    <w:rsid w:val="00621774"/>
    <w:rsid w:val="00624D70"/>
    <w:rsid w:val="006253AD"/>
    <w:rsid w:val="0062609C"/>
    <w:rsid w:val="00626627"/>
    <w:rsid w:val="0062715E"/>
    <w:rsid w:val="006301B8"/>
    <w:rsid w:val="0063103A"/>
    <w:rsid w:val="00631868"/>
    <w:rsid w:val="006345AF"/>
    <w:rsid w:val="0063490E"/>
    <w:rsid w:val="00636306"/>
    <w:rsid w:val="0063685B"/>
    <w:rsid w:val="006418EF"/>
    <w:rsid w:val="00643144"/>
    <w:rsid w:val="00643559"/>
    <w:rsid w:val="00644BA5"/>
    <w:rsid w:val="0064647C"/>
    <w:rsid w:val="0065214C"/>
    <w:rsid w:val="006525A2"/>
    <w:rsid w:val="00652F41"/>
    <w:rsid w:val="00653BAA"/>
    <w:rsid w:val="0065673D"/>
    <w:rsid w:val="006570C3"/>
    <w:rsid w:val="00657F9D"/>
    <w:rsid w:val="0066054C"/>
    <w:rsid w:val="0066242E"/>
    <w:rsid w:val="00665EB8"/>
    <w:rsid w:val="00666CCA"/>
    <w:rsid w:val="00667629"/>
    <w:rsid w:val="00667F20"/>
    <w:rsid w:val="006741D7"/>
    <w:rsid w:val="00674D0B"/>
    <w:rsid w:val="00677109"/>
    <w:rsid w:val="00677ECD"/>
    <w:rsid w:val="006822FB"/>
    <w:rsid w:val="006840DC"/>
    <w:rsid w:val="006848BA"/>
    <w:rsid w:val="00684BD7"/>
    <w:rsid w:val="0068534F"/>
    <w:rsid w:val="0068632E"/>
    <w:rsid w:val="00692AF9"/>
    <w:rsid w:val="00694CCE"/>
    <w:rsid w:val="006967AE"/>
    <w:rsid w:val="006A287A"/>
    <w:rsid w:val="006A3067"/>
    <w:rsid w:val="006A3CC2"/>
    <w:rsid w:val="006A7EE7"/>
    <w:rsid w:val="006B340E"/>
    <w:rsid w:val="006B7D6D"/>
    <w:rsid w:val="006C0544"/>
    <w:rsid w:val="006C27F4"/>
    <w:rsid w:val="006C2B8B"/>
    <w:rsid w:val="006C3056"/>
    <w:rsid w:val="006C33B4"/>
    <w:rsid w:val="006C584E"/>
    <w:rsid w:val="006C5EC1"/>
    <w:rsid w:val="006D0152"/>
    <w:rsid w:val="006D2BF5"/>
    <w:rsid w:val="006D40B1"/>
    <w:rsid w:val="006D4C3B"/>
    <w:rsid w:val="006E0387"/>
    <w:rsid w:val="006E295D"/>
    <w:rsid w:val="006E5115"/>
    <w:rsid w:val="006E5692"/>
    <w:rsid w:val="006F18F4"/>
    <w:rsid w:val="006F3208"/>
    <w:rsid w:val="006F32B0"/>
    <w:rsid w:val="006F3A24"/>
    <w:rsid w:val="006F4DF2"/>
    <w:rsid w:val="00701A3A"/>
    <w:rsid w:val="00702FC1"/>
    <w:rsid w:val="0070389C"/>
    <w:rsid w:val="00703C42"/>
    <w:rsid w:val="0070589B"/>
    <w:rsid w:val="00710001"/>
    <w:rsid w:val="00710797"/>
    <w:rsid w:val="00713AFB"/>
    <w:rsid w:val="00713F01"/>
    <w:rsid w:val="00714C64"/>
    <w:rsid w:val="0071573B"/>
    <w:rsid w:val="00720C61"/>
    <w:rsid w:val="00721D08"/>
    <w:rsid w:val="007226AA"/>
    <w:rsid w:val="007227E5"/>
    <w:rsid w:val="00722CA5"/>
    <w:rsid w:val="00724BE8"/>
    <w:rsid w:val="007255FB"/>
    <w:rsid w:val="00725B8A"/>
    <w:rsid w:val="0072684F"/>
    <w:rsid w:val="00733084"/>
    <w:rsid w:val="00734556"/>
    <w:rsid w:val="00734EB2"/>
    <w:rsid w:val="00737FA6"/>
    <w:rsid w:val="007405BA"/>
    <w:rsid w:val="007412C4"/>
    <w:rsid w:val="007424EC"/>
    <w:rsid w:val="007457BA"/>
    <w:rsid w:val="00746C4E"/>
    <w:rsid w:val="00757C43"/>
    <w:rsid w:val="007604BA"/>
    <w:rsid w:val="00761419"/>
    <w:rsid w:val="00761FCD"/>
    <w:rsid w:val="007639A7"/>
    <w:rsid w:val="00765C42"/>
    <w:rsid w:val="00765D08"/>
    <w:rsid w:val="00766F35"/>
    <w:rsid w:val="007703B3"/>
    <w:rsid w:val="00773147"/>
    <w:rsid w:val="00773987"/>
    <w:rsid w:val="007742BC"/>
    <w:rsid w:val="007747F8"/>
    <w:rsid w:val="00774972"/>
    <w:rsid w:val="00776D21"/>
    <w:rsid w:val="00777E8E"/>
    <w:rsid w:val="007801BC"/>
    <w:rsid w:val="007803BE"/>
    <w:rsid w:val="00781E2D"/>
    <w:rsid w:val="0079096C"/>
    <w:rsid w:val="00792010"/>
    <w:rsid w:val="007930D8"/>
    <w:rsid w:val="0079328E"/>
    <w:rsid w:val="00794BF2"/>
    <w:rsid w:val="0079558D"/>
    <w:rsid w:val="007A4474"/>
    <w:rsid w:val="007A4EC4"/>
    <w:rsid w:val="007A65CA"/>
    <w:rsid w:val="007A70DF"/>
    <w:rsid w:val="007A79A9"/>
    <w:rsid w:val="007A7AEF"/>
    <w:rsid w:val="007B2533"/>
    <w:rsid w:val="007B2565"/>
    <w:rsid w:val="007B392C"/>
    <w:rsid w:val="007B471E"/>
    <w:rsid w:val="007B494B"/>
    <w:rsid w:val="007B4D47"/>
    <w:rsid w:val="007B5261"/>
    <w:rsid w:val="007B5533"/>
    <w:rsid w:val="007B69EE"/>
    <w:rsid w:val="007B6DFA"/>
    <w:rsid w:val="007C0040"/>
    <w:rsid w:val="007C3C76"/>
    <w:rsid w:val="007C5000"/>
    <w:rsid w:val="007D057B"/>
    <w:rsid w:val="007D17D1"/>
    <w:rsid w:val="007D32FC"/>
    <w:rsid w:val="007E2867"/>
    <w:rsid w:val="007E48F4"/>
    <w:rsid w:val="007E58F4"/>
    <w:rsid w:val="007E77CE"/>
    <w:rsid w:val="007F07B5"/>
    <w:rsid w:val="007F0C3B"/>
    <w:rsid w:val="007F135F"/>
    <w:rsid w:val="007F2E2E"/>
    <w:rsid w:val="007F31EC"/>
    <w:rsid w:val="007F4A31"/>
    <w:rsid w:val="007F7295"/>
    <w:rsid w:val="00803966"/>
    <w:rsid w:val="00804A4C"/>
    <w:rsid w:val="0080568D"/>
    <w:rsid w:val="00810683"/>
    <w:rsid w:val="00810D42"/>
    <w:rsid w:val="00811E40"/>
    <w:rsid w:val="0081200A"/>
    <w:rsid w:val="00813760"/>
    <w:rsid w:val="0081421B"/>
    <w:rsid w:val="0081499F"/>
    <w:rsid w:val="00816F8E"/>
    <w:rsid w:val="00817594"/>
    <w:rsid w:val="00820DF1"/>
    <w:rsid w:val="00821A51"/>
    <w:rsid w:val="008239D5"/>
    <w:rsid w:val="00824D2D"/>
    <w:rsid w:val="008264A2"/>
    <w:rsid w:val="00826E41"/>
    <w:rsid w:val="008313A7"/>
    <w:rsid w:val="008315FA"/>
    <w:rsid w:val="0083287C"/>
    <w:rsid w:val="00833CFD"/>
    <w:rsid w:val="00835D32"/>
    <w:rsid w:val="00835EFD"/>
    <w:rsid w:val="00836058"/>
    <w:rsid w:val="00836D1D"/>
    <w:rsid w:val="00843204"/>
    <w:rsid w:val="00843387"/>
    <w:rsid w:val="008441D4"/>
    <w:rsid w:val="00847390"/>
    <w:rsid w:val="0085205C"/>
    <w:rsid w:val="00855500"/>
    <w:rsid w:val="00861539"/>
    <w:rsid w:val="00861D3C"/>
    <w:rsid w:val="008648FB"/>
    <w:rsid w:val="00865DAE"/>
    <w:rsid w:val="008662DB"/>
    <w:rsid w:val="00866711"/>
    <w:rsid w:val="00867FB7"/>
    <w:rsid w:val="0087112B"/>
    <w:rsid w:val="0087121B"/>
    <w:rsid w:val="008724E5"/>
    <w:rsid w:val="00873E6D"/>
    <w:rsid w:val="00876B71"/>
    <w:rsid w:val="00881EA5"/>
    <w:rsid w:val="00885F0A"/>
    <w:rsid w:val="00887A3A"/>
    <w:rsid w:val="00891E3F"/>
    <w:rsid w:val="00892BFB"/>
    <w:rsid w:val="00893793"/>
    <w:rsid w:val="00894EBB"/>
    <w:rsid w:val="008A029D"/>
    <w:rsid w:val="008A0AB7"/>
    <w:rsid w:val="008A3456"/>
    <w:rsid w:val="008A3577"/>
    <w:rsid w:val="008B1516"/>
    <w:rsid w:val="008B6467"/>
    <w:rsid w:val="008B77A0"/>
    <w:rsid w:val="008C02B2"/>
    <w:rsid w:val="008C0699"/>
    <w:rsid w:val="008C08E6"/>
    <w:rsid w:val="008C0FF7"/>
    <w:rsid w:val="008C19BB"/>
    <w:rsid w:val="008C1DC1"/>
    <w:rsid w:val="008C259B"/>
    <w:rsid w:val="008C3498"/>
    <w:rsid w:val="008C5556"/>
    <w:rsid w:val="008D08DB"/>
    <w:rsid w:val="008D18E7"/>
    <w:rsid w:val="008D2015"/>
    <w:rsid w:val="008D245C"/>
    <w:rsid w:val="008D4047"/>
    <w:rsid w:val="008E070D"/>
    <w:rsid w:val="008E161B"/>
    <w:rsid w:val="008E2E95"/>
    <w:rsid w:val="008E3A20"/>
    <w:rsid w:val="008E3CFC"/>
    <w:rsid w:val="008E4450"/>
    <w:rsid w:val="008F0F07"/>
    <w:rsid w:val="008F0F59"/>
    <w:rsid w:val="008F152C"/>
    <w:rsid w:val="008F2BAA"/>
    <w:rsid w:val="008F4CC1"/>
    <w:rsid w:val="0090035E"/>
    <w:rsid w:val="009015EA"/>
    <w:rsid w:val="00902EAF"/>
    <w:rsid w:val="00903063"/>
    <w:rsid w:val="009055E8"/>
    <w:rsid w:val="0090623D"/>
    <w:rsid w:val="00907DAF"/>
    <w:rsid w:val="00910DCF"/>
    <w:rsid w:val="00911E37"/>
    <w:rsid w:val="00912363"/>
    <w:rsid w:val="00914D88"/>
    <w:rsid w:val="00915B03"/>
    <w:rsid w:val="009201AF"/>
    <w:rsid w:val="00920A7E"/>
    <w:rsid w:val="009211BC"/>
    <w:rsid w:val="009219A4"/>
    <w:rsid w:val="0092205F"/>
    <w:rsid w:val="00923409"/>
    <w:rsid w:val="00923942"/>
    <w:rsid w:val="009243E6"/>
    <w:rsid w:val="009329D8"/>
    <w:rsid w:val="00933041"/>
    <w:rsid w:val="00937B17"/>
    <w:rsid w:val="00937C79"/>
    <w:rsid w:val="00937FF8"/>
    <w:rsid w:val="009428F6"/>
    <w:rsid w:val="009429B0"/>
    <w:rsid w:val="00942E9C"/>
    <w:rsid w:val="00943003"/>
    <w:rsid w:val="009433B2"/>
    <w:rsid w:val="00944A72"/>
    <w:rsid w:val="009507CD"/>
    <w:rsid w:val="00950AA4"/>
    <w:rsid w:val="00951054"/>
    <w:rsid w:val="009522AC"/>
    <w:rsid w:val="00952C87"/>
    <w:rsid w:val="00952F10"/>
    <w:rsid w:val="0095666C"/>
    <w:rsid w:val="00956EC8"/>
    <w:rsid w:val="00957BBD"/>
    <w:rsid w:val="00960B20"/>
    <w:rsid w:val="009630C9"/>
    <w:rsid w:val="00970A30"/>
    <w:rsid w:val="0097146A"/>
    <w:rsid w:val="00973982"/>
    <w:rsid w:val="00973D1E"/>
    <w:rsid w:val="00973F21"/>
    <w:rsid w:val="00975789"/>
    <w:rsid w:val="00976649"/>
    <w:rsid w:val="00976729"/>
    <w:rsid w:val="00976A1C"/>
    <w:rsid w:val="00977909"/>
    <w:rsid w:val="00981499"/>
    <w:rsid w:val="00981E71"/>
    <w:rsid w:val="00986550"/>
    <w:rsid w:val="00986A50"/>
    <w:rsid w:val="00986F4B"/>
    <w:rsid w:val="00986F55"/>
    <w:rsid w:val="00986FA0"/>
    <w:rsid w:val="0098785B"/>
    <w:rsid w:val="00990B85"/>
    <w:rsid w:val="009944E9"/>
    <w:rsid w:val="00995B77"/>
    <w:rsid w:val="00997333"/>
    <w:rsid w:val="009A02FB"/>
    <w:rsid w:val="009A049E"/>
    <w:rsid w:val="009A6A20"/>
    <w:rsid w:val="009A701B"/>
    <w:rsid w:val="009A7FA9"/>
    <w:rsid w:val="009B00BC"/>
    <w:rsid w:val="009B53A6"/>
    <w:rsid w:val="009C1350"/>
    <w:rsid w:val="009C6122"/>
    <w:rsid w:val="009C6662"/>
    <w:rsid w:val="009C6AA8"/>
    <w:rsid w:val="009D296A"/>
    <w:rsid w:val="009D4263"/>
    <w:rsid w:val="009D5085"/>
    <w:rsid w:val="009D7814"/>
    <w:rsid w:val="009D78D3"/>
    <w:rsid w:val="009E006E"/>
    <w:rsid w:val="009E0607"/>
    <w:rsid w:val="009E0F3C"/>
    <w:rsid w:val="009E4BE5"/>
    <w:rsid w:val="009E54E4"/>
    <w:rsid w:val="009E55A5"/>
    <w:rsid w:val="009E5799"/>
    <w:rsid w:val="009E5B75"/>
    <w:rsid w:val="009E647D"/>
    <w:rsid w:val="009F0C68"/>
    <w:rsid w:val="009F1851"/>
    <w:rsid w:val="009F246B"/>
    <w:rsid w:val="009F2B6A"/>
    <w:rsid w:val="009F4096"/>
    <w:rsid w:val="009F4B0D"/>
    <w:rsid w:val="00A011DD"/>
    <w:rsid w:val="00A01AF2"/>
    <w:rsid w:val="00A01C7E"/>
    <w:rsid w:val="00A02C19"/>
    <w:rsid w:val="00A02D7B"/>
    <w:rsid w:val="00A02E7F"/>
    <w:rsid w:val="00A03B0A"/>
    <w:rsid w:val="00A04BCF"/>
    <w:rsid w:val="00A053C8"/>
    <w:rsid w:val="00A073AC"/>
    <w:rsid w:val="00A10124"/>
    <w:rsid w:val="00A117A8"/>
    <w:rsid w:val="00A135B5"/>
    <w:rsid w:val="00A1425D"/>
    <w:rsid w:val="00A1563A"/>
    <w:rsid w:val="00A178BC"/>
    <w:rsid w:val="00A200F4"/>
    <w:rsid w:val="00A205C0"/>
    <w:rsid w:val="00A20C7C"/>
    <w:rsid w:val="00A210FA"/>
    <w:rsid w:val="00A2132E"/>
    <w:rsid w:val="00A21D49"/>
    <w:rsid w:val="00A24587"/>
    <w:rsid w:val="00A24A99"/>
    <w:rsid w:val="00A269EB"/>
    <w:rsid w:val="00A27A24"/>
    <w:rsid w:val="00A3031D"/>
    <w:rsid w:val="00A30DA1"/>
    <w:rsid w:val="00A325D8"/>
    <w:rsid w:val="00A341F8"/>
    <w:rsid w:val="00A35547"/>
    <w:rsid w:val="00A357A4"/>
    <w:rsid w:val="00A42CD4"/>
    <w:rsid w:val="00A45061"/>
    <w:rsid w:val="00A46BEA"/>
    <w:rsid w:val="00A503A9"/>
    <w:rsid w:val="00A50C2E"/>
    <w:rsid w:val="00A51DD2"/>
    <w:rsid w:val="00A53348"/>
    <w:rsid w:val="00A554CA"/>
    <w:rsid w:val="00A61F53"/>
    <w:rsid w:val="00A61F99"/>
    <w:rsid w:val="00A644C6"/>
    <w:rsid w:val="00A65765"/>
    <w:rsid w:val="00A67369"/>
    <w:rsid w:val="00A67A6C"/>
    <w:rsid w:val="00A714BA"/>
    <w:rsid w:val="00A71754"/>
    <w:rsid w:val="00A72169"/>
    <w:rsid w:val="00A7266C"/>
    <w:rsid w:val="00A73F4E"/>
    <w:rsid w:val="00A753C8"/>
    <w:rsid w:val="00A756E0"/>
    <w:rsid w:val="00A775CB"/>
    <w:rsid w:val="00A77F57"/>
    <w:rsid w:val="00A82313"/>
    <w:rsid w:val="00A82B71"/>
    <w:rsid w:val="00A83A57"/>
    <w:rsid w:val="00A843F4"/>
    <w:rsid w:val="00A9080E"/>
    <w:rsid w:val="00A91FAD"/>
    <w:rsid w:val="00A94548"/>
    <w:rsid w:val="00A95AB3"/>
    <w:rsid w:val="00A96E35"/>
    <w:rsid w:val="00A97292"/>
    <w:rsid w:val="00AA122E"/>
    <w:rsid w:val="00AA2F1D"/>
    <w:rsid w:val="00AA3ECD"/>
    <w:rsid w:val="00AA456B"/>
    <w:rsid w:val="00AB128D"/>
    <w:rsid w:val="00AB3812"/>
    <w:rsid w:val="00AB615E"/>
    <w:rsid w:val="00AB62DA"/>
    <w:rsid w:val="00AB7257"/>
    <w:rsid w:val="00AC0484"/>
    <w:rsid w:val="00AC1B40"/>
    <w:rsid w:val="00AC2168"/>
    <w:rsid w:val="00AC2CEA"/>
    <w:rsid w:val="00AC3E60"/>
    <w:rsid w:val="00AC669C"/>
    <w:rsid w:val="00AC6DB5"/>
    <w:rsid w:val="00AC70F2"/>
    <w:rsid w:val="00AD2F0C"/>
    <w:rsid w:val="00AD33CC"/>
    <w:rsid w:val="00AD675C"/>
    <w:rsid w:val="00AE20DA"/>
    <w:rsid w:val="00AE377E"/>
    <w:rsid w:val="00AE5D73"/>
    <w:rsid w:val="00AE7FC6"/>
    <w:rsid w:val="00AF2511"/>
    <w:rsid w:val="00AF52F5"/>
    <w:rsid w:val="00AF73E8"/>
    <w:rsid w:val="00AF7A3A"/>
    <w:rsid w:val="00B01148"/>
    <w:rsid w:val="00B06BD9"/>
    <w:rsid w:val="00B1001A"/>
    <w:rsid w:val="00B10D80"/>
    <w:rsid w:val="00B11A3A"/>
    <w:rsid w:val="00B125ED"/>
    <w:rsid w:val="00B13636"/>
    <w:rsid w:val="00B160F0"/>
    <w:rsid w:val="00B17C6B"/>
    <w:rsid w:val="00B20584"/>
    <w:rsid w:val="00B234FB"/>
    <w:rsid w:val="00B26E7E"/>
    <w:rsid w:val="00B337E2"/>
    <w:rsid w:val="00B366DC"/>
    <w:rsid w:val="00B36809"/>
    <w:rsid w:val="00B36A5C"/>
    <w:rsid w:val="00B37768"/>
    <w:rsid w:val="00B37906"/>
    <w:rsid w:val="00B4122D"/>
    <w:rsid w:val="00B41EFA"/>
    <w:rsid w:val="00B42708"/>
    <w:rsid w:val="00B435D9"/>
    <w:rsid w:val="00B43C3D"/>
    <w:rsid w:val="00B453AE"/>
    <w:rsid w:val="00B45638"/>
    <w:rsid w:val="00B456AD"/>
    <w:rsid w:val="00B474B6"/>
    <w:rsid w:val="00B53E82"/>
    <w:rsid w:val="00B53FED"/>
    <w:rsid w:val="00B5535A"/>
    <w:rsid w:val="00B56263"/>
    <w:rsid w:val="00B6051E"/>
    <w:rsid w:val="00B61F59"/>
    <w:rsid w:val="00B632D2"/>
    <w:rsid w:val="00B64A98"/>
    <w:rsid w:val="00B6762B"/>
    <w:rsid w:val="00B71AD7"/>
    <w:rsid w:val="00B7423D"/>
    <w:rsid w:val="00B7685D"/>
    <w:rsid w:val="00B801A3"/>
    <w:rsid w:val="00B806BD"/>
    <w:rsid w:val="00B80E22"/>
    <w:rsid w:val="00B81D52"/>
    <w:rsid w:val="00B83AC9"/>
    <w:rsid w:val="00B84B21"/>
    <w:rsid w:val="00B90C0A"/>
    <w:rsid w:val="00B92500"/>
    <w:rsid w:val="00B978BF"/>
    <w:rsid w:val="00BA18E7"/>
    <w:rsid w:val="00BA1F3F"/>
    <w:rsid w:val="00BA27C4"/>
    <w:rsid w:val="00BA34AA"/>
    <w:rsid w:val="00BA4108"/>
    <w:rsid w:val="00BA4742"/>
    <w:rsid w:val="00BA4F62"/>
    <w:rsid w:val="00BA5DD7"/>
    <w:rsid w:val="00BB3376"/>
    <w:rsid w:val="00BB6601"/>
    <w:rsid w:val="00BB6ECC"/>
    <w:rsid w:val="00BB70A9"/>
    <w:rsid w:val="00BC1DA0"/>
    <w:rsid w:val="00BC351D"/>
    <w:rsid w:val="00BC4550"/>
    <w:rsid w:val="00BC55AA"/>
    <w:rsid w:val="00BC580F"/>
    <w:rsid w:val="00BC625D"/>
    <w:rsid w:val="00BC676F"/>
    <w:rsid w:val="00BD25FD"/>
    <w:rsid w:val="00BD4EA7"/>
    <w:rsid w:val="00BD6AEF"/>
    <w:rsid w:val="00BD7265"/>
    <w:rsid w:val="00BD7B52"/>
    <w:rsid w:val="00BD7BC9"/>
    <w:rsid w:val="00BE1039"/>
    <w:rsid w:val="00BE16F9"/>
    <w:rsid w:val="00BE1711"/>
    <w:rsid w:val="00BE1D00"/>
    <w:rsid w:val="00BE3C61"/>
    <w:rsid w:val="00BE5AB7"/>
    <w:rsid w:val="00BE6295"/>
    <w:rsid w:val="00BE6D59"/>
    <w:rsid w:val="00BE78E7"/>
    <w:rsid w:val="00BF04A4"/>
    <w:rsid w:val="00BF5C65"/>
    <w:rsid w:val="00BF7B5D"/>
    <w:rsid w:val="00C10D4E"/>
    <w:rsid w:val="00C1263B"/>
    <w:rsid w:val="00C205A3"/>
    <w:rsid w:val="00C22B79"/>
    <w:rsid w:val="00C22BA8"/>
    <w:rsid w:val="00C30691"/>
    <w:rsid w:val="00C32E0A"/>
    <w:rsid w:val="00C33195"/>
    <w:rsid w:val="00C33D6A"/>
    <w:rsid w:val="00C34900"/>
    <w:rsid w:val="00C34F2F"/>
    <w:rsid w:val="00C37D7B"/>
    <w:rsid w:val="00C37EB0"/>
    <w:rsid w:val="00C4052F"/>
    <w:rsid w:val="00C4188C"/>
    <w:rsid w:val="00C429E8"/>
    <w:rsid w:val="00C433BE"/>
    <w:rsid w:val="00C4439E"/>
    <w:rsid w:val="00C456CA"/>
    <w:rsid w:val="00C45910"/>
    <w:rsid w:val="00C460E6"/>
    <w:rsid w:val="00C4695E"/>
    <w:rsid w:val="00C475E0"/>
    <w:rsid w:val="00C5015E"/>
    <w:rsid w:val="00C522A7"/>
    <w:rsid w:val="00C52415"/>
    <w:rsid w:val="00C5398A"/>
    <w:rsid w:val="00C53C3D"/>
    <w:rsid w:val="00C55A86"/>
    <w:rsid w:val="00C62221"/>
    <w:rsid w:val="00C6247B"/>
    <w:rsid w:val="00C635B9"/>
    <w:rsid w:val="00C64BA0"/>
    <w:rsid w:val="00C71615"/>
    <w:rsid w:val="00C716F8"/>
    <w:rsid w:val="00C7352F"/>
    <w:rsid w:val="00C74D8C"/>
    <w:rsid w:val="00C74F64"/>
    <w:rsid w:val="00C801B0"/>
    <w:rsid w:val="00C808E4"/>
    <w:rsid w:val="00C82B82"/>
    <w:rsid w:val="00C82F0D"/>
    <w:rsid w:val="00C84D1F"/>
    <w:rsid w:val="00C85EB6"/>
    <w:rsid w:val="00C86304"/>
    <w:rsid w:val="00C879CF"/>
    <w:rsid w:val="00C90B4B"/>
    <w:rsid w:val="00C91AF8"/>
    <w:rsid w:val="00C94109"/>
    <w:rsid w:val="00C9487D"/>
    <w:rsid w:val="00CA0C35"/>
    <w:rsid w:val="00CA1C8B"/>
    <w:rsid w:val="00CA264E"/>
    <w:rsid w:val="00CA3F7F"/>
    <w:rsid w:val="00CA42EE"/>
    <w:rsid w:val="00CA4502"/>
    <w:rsid w:val="00CA6036"/>
    <w:rsid w:val="00CA6272"/>
    <w:rsid w:val="00CA7CB5"/>
    <w:rsid w:val="00CB0822"/>
    <w:rsid w:val="00CB125F"/>
    <w:rsid w:val="00CB2C59"/>
    <w:rsid w:val="00CB4DA6"/>
    <w:rsid w:val="00CC7777"/>
    <w:rsid w:val="00CC77AD"/>
    <w:rsid w:val="00CD26FB"/>
    <w:rsid w:val="00CD39C1"/>
    <w:rsid w:val="00CD4FAD"/>
    <w:rsid w:val="00CD662D"/>
    <w:rsid w:val="00CD7618"/>
    <w:rsid w:val="00CE073C"/>
    <w:rsid w:val="00CE1635"/>
    <w:rsid w:val="00CE2363"/>
    <w:rsid w:val="00CE73CF"/>
    <w:rsid w:val="00CE7E9A"/>
    <w:rsid w:val="00CF0A62"/>
    <w:rsid w:val="00CF2ABF"/>
    <w:rsid w:val="00CF38DB"/>
    <w:rsid w:val="00CF41E2"/>
    <w:rsid w:val="00CF4AF5"/>
    <w:rsid w:val="00CF5F13"/>
    <w:rsid w:val="00CF6E48"/>
    <w:rsid w:val="00D0177C"/>
    <w:rsid w:val="00D01CA2"/>
    <w:rsid w:val="00D03466"/>
    <w:rsid w:val="00D054D2"/>
    <w:rsid w:val="00D06A5B"/>
    <w:rsid w:val="00D1074B"/>
    <w:rsid w:val="00D11C4D"/>
    <w:rsid w:val="00D1224D"/>
    <w:rsid w:val="00D202D1"/>
    <w:rsid w:val="00D25A9D"/>
    <w:rsid w:val="00D261EB"/>
    <w:rsid w:val="00D30A8F"/>
    <w:rsid w:val="00D31DA7"/>
    <w:rsid w:val="00D33334"/>
    <w:rsid w:val="00D355A8"/>
    <w:rsid w:val="00D35E0F"/>
    <w:rsid w:val="00D36994"/>
    <w:rsid w:val="00D36A93"/>
    <w:rsid w:val="00D36FCB"/>
    <w:rsid w:val="00D407A0"/>
    <w:rsid w:val="00D40D27"/>
    <w:rsid w:val="00D421A2"/>
    <w:rsid w:val="00D4459A"/>
    <w:rsid w:val="00D46633"/>
    <w:rsid w:val="00D47721"/>
    <w:rsid w:val="00D506A8"/>
    <w:rsid w:val="00D51740"/>
    <w:rsid w:val="00D53BF2"/>
    <w:rsid w:val="00D552F4"/>
    <w:rsid w:val="00D56F71"/>
    <w:rsid w:val="00D5744D"/>
    <w:rsid w:val="00D61BE0"/>
    <w:rsid w:val="00D626B1"/>
    <w:rsid w:val="00D62BE5"/>
    <w:rsid w:val="00D7011D"/>
    <w:rsid w:val="00D70AE4"/>
    <w:rsid w:val="00D7257F"/>
    <w:rsid w:val="00D729CC"/>
    <w:rsid w:val="00D7355F"/>
    <w:rsid w:val="00D749D1"/>
    <w:rsid w:val="00D74E8B"/>
    <w:rsid w:val="00D76A5D"/>
    <w:rsid w:val="00D80E30"/>
    <w:rsid w:val="00D8483C"/>
    <w:rsid w:val="00D865AC"/>
    <w:rsid w:val="00D902CB"/>
    <w:rsid w:val="00D90535"/>
    <w:rsid w:val="00D90AAE"/>
    <w:rsid w:val="00D914F3"/>
    <w:rsid w:val="00D91686"/>
    <w:rsid w:val="00D93591"/>
    <w:rsid w:val="00D9409A"/>
    <w:rsid w:val="00D94282"/>
    <w:rsid w:val="00D9454F"/>
    <w:rsid w:val="00D97E02"/>
    <w:rsid w:val="00DA2C5E"/>
    <w:rsid w:val="00DA47E0"/>
    <w:rsid w:val="00DA49F0"/>
    <w:rsid w:val="00DA546C"/>
    <w:rsid w:val="00DA68E4"/>
    <w:rsid w:val="00DA70ED"/>
    <w:rsid w:val="00DB31C6"/>
    <w:rsid w:val="00DB460D"/>
    <w:rsid w:val="00DB4651"/>
    <w:rsid w:val="00DC2756"/>
    <w:rsid w:val="00DC2C03"/>
    <w:rsid w:val="00DC5303"/>
    <w:rsid w:val="00DD23AE"/>
    <w:rsid w:val="00DD3078"/>
    <w:rsid w:val="00DD6964"/>
    <w:rsid w:val="00DD742A"/>
    <w:rsid w:val="00DE071B"/>
    <w:rsid w:val="00DE36DB"/>
    <w:rsid w:val="00DE4068"/>
    <w:rsid w:val="00DE5E89"/>
    <w:rsid w:val="00DE782E"/>
    <w:rsid w:val="00DF16AC"/>
    <w:rsid w:val="00DF1A62"/>
    <w:rsid w:val="00DF1FED"/>
    <w:rsid w:val="00DF2E12"/>
    <w:rsid w:val="00DF2E52"/>
    <w:rsid w:val="00DF38A2"/>
    <w:rsid w:val="00DF4FE5"/>
    <w:rsid w:val="00E02EA8"/>
    <w:rsid w:val="00E03ED5"/>
    <w:rsid w:val="00E07CD7"/>
    <w:rsid w:val="00E119F3"/>
    <w:rsid w:val="00E155F6"/>
    <w:rsid w:val="00E156C0"/>
    <w:rsid w:val="00E17800"/>
    <w:rsid w:val="00E204AE"/>
    <w:rsid w:val="00E20605"/>
    <w:rsid w:val="00E20E97"/>
    <w:rsid w:val="00E21090"/>
    <w:rsid w:val="00E2159E"/>
    <w:rsid w:val="00E2192E"/>
    <w:rsid w:val="00E23104"/>
    <w:rsid w:val="00E2325C"/>
    <w:rsid w:val="00E23706"/>
    <w:rsid w:val="00E2531B"/>
    <w:rsid w:val="00E30E5F"/>
    <w:rsid w:val="00E3105B"/>
    <w:rsid w:val="00E311A9"/>
    <w:rsid w:val="00E32D88"/>
    <w:rsid w:val="00E339E1"/>
    <w:rsid w:val="00E33EA1"/>
    <w:rsid w:val="00E342D7"/>
    <w:rsid w:val="00E349A5"/>
    <w:rsid w:val="00E34A17"/>
    <w:rsid w:val="00E34A1A"/>
    <w:rsid w:val="00E352F8"/>
    <w:rsid w:val="00E35B03"/>
    <w:rsid w:val="00E401C4"/>
    <w:rsid w:val="00E40398"/>
    <w:rsid w:val="00E4091C"/>
    <w:rsid w:val="00E432A5"/>
    <w:rsid w:val="00E45C97"/>
    <w:rsid w:val="00E4783B"/>
    <w:rsid w:val="00E47D8B"/>
    <w:rsid w:val="00E5098F"/>
    <w:rsid w:val="00E5339A"/>
    <w:rsid w:val="00E53AFC"/>
    <w:rsid w:val="00E55F44"/>
    <w:rsid w:val="00E56F11"/>
    <w:rsid w:val="00E574F7"/>
    <w:rsid w:val="00E6126D"/>
    <w:rsid w:val="00E63F7D"/>
    <w:rsid w:val="00E64AE5"/>
    <w:rsid w:val="00E660FB"/>
    <w:rsid w:val="00E76BF4"/>
    <w:rsid w:val="00E82559"/>
    <w:rsid w:val="00E84272"/>
    <w:rsid w:val="00E85022"/>
    <w:rsid w:val="00E856E2"/>
    <w:rsid w:val="00E91310"/>
    <w:rsid w:val="00E92800"/>
    <w:rsid w:val="00E92E5B"/>
    <w:rsid w:val="00E93B56"/>
    <w:rsid w:val="00E94BB1"/>
    <w:rsid w:val="00E95983"/>
    <w:rsid w:val="00E96523"/>
    <w:rsid w:val="00E96F5A"/>
    <w:rsid w:val="00E9711D"/>
    <w:rsid w:val="00EA2890"/>
    <w:rsid w:val="00EA4905"/>
    <w:rsid w:val="00EA557C"/>
    <w:rsid w:val="00EB09A3"/>
    <w:rsid w:val="00EB266D"/>
    <w:rsid w:val="00EB6338"/>
    <w:rsid w:val="00EB6A26"/>
    <w:rsid w:val="00EB7682"/>
    <w:rsid w:val="00EC04EC"/>
    <w:rsid w:val="00EC21B1"/>
    <w:rsid w:val="00EC2363"/>
    <w:rsid w:val="00EC50D9"/>
    <w:rsid w:val="00EC643F"/>
    <w:rsid w:val="00EC6BA8"/>
    <w:rsid w:val="00ED2FE0"/>
    <w:rsid w:val="00ED31B4"/>
    <w:rsid w:val="00ED36F2"/>
    <w:rsid w:val="00ED6E61"/>
    <w:rsid w:val="00EE1F8F"/>
    <w:rsid w:val="00EE255B"/>
    <w:rsid w:val="00EE3CBA"/>
    <w:rsid w:val="00EE6936"/>
    <w:rsid w:val="00EE7B43"/>
    <w:rsid w:val="00EF29E5"/>
    <w:rsid w:val="00EF4D31"/>
    <w:rsid w:val="00EF56CF"/>
    <w:rsid w:val="00EF5848"/>
    <w:rsid w:val="00EF7450"/>
    <w:rsid w:val="00F0051A"/>
    <w:rsid w:val="00F01DBB"/>
    <w:rsid w:val="00F02070"/>
    <w:rsid w:val="00F04AE8"/>
    <w:rsid w:val="00F05306"/>
    <w:rsid w:val="00F10661"/>
    <w:rsid w:val="00F123C1"/>
    <w:rsid w:val="00F13D98"/>
    <w:rsid w:val="00F13DA6"/>
    <w:rsid w:val="00F144C9"/>
    <w:rsid w:val="00F16E5D"/>
    <w:rsid w:val="00F16F89"/>
    <w:rsid w:val="00F17539"/>
    <w:rsid w:val="00F20A4A"/>
    <w:rsid w:val="00F34B0C"/>
    <w:rsid w:val="00F353CC"/>
    <w:rsid w:val="00F3640C"/>
    <w:rsid w:val="00F4036E"/>
    <w:rsid w:val="00F41148"/>
    <w:rsid w:val="00F44114"/>
    <w:rsid w:val="00F44C38"/>
    <w:rsid w:val="00F454E3"/>
    <w:rsid w:val="00F5192C"/>
    <w:rsid w:val="00F520B7"/>
    <w:rsid w:val="00F52558"/>
    <w:rsid w:val="00F54B21"/>
    <w:rsid w:val="00F57D88"/>
    <w:rsid w:val="00F61847"/>
    <w:rsid w:val="00F61C7B"/>
    <w:rsid w:val="00F62919"/>
    <w:rsid w:val="00F66ACA"/>
    <w:rsid w:val="00F67857"/>
    <w:rsid w:val="00F71A83"/>
    <w:rsid w:val="00F74B4B"/>
    <w:rsid w:val="00F75D0E"/>
    <w:rsid w:val="00F802FC"/>
    <w:rsid w:val="00F85192"/>
    <w:rsid w:val="00F8672F"/>
    <w:rsid w:val="00F86C9A"/>
    <w:rsid w:val="00F872DC"/>
    <w:rsid w:val="00F9002A"/>
    <w:rsid w:val="00F929A6"/>
    <w:rsid w:val="00F93E20"/>
    <w:rsid w:val="00F9434F"/>
    <w:rsid w:val="00F94F96"/>
    <w:rsid w:val="00FA0542"/>
    <w:rsid w:val="00FA0A7E"/>
    <w:rsid w:val="00FA11DA"/>
    <w:rsid w:val="00FA1D81"/>
    <w:rsid w:val="00FA20A4"/>
    <w:rsid w:val="00FA4B52"/>
    <w:rsid w:val="00FA537B"/>
    <w:rsid w:val="00FA571E"/>
    <w:rsid w:val="00FA659C"/>
    <w:rsid w:val="00FA6B1C"/>
    <w:rsid w:val="00FB31D0"/>
    <w:rsid w:val="00FC1B05"/>
    <w:rsid w:val="00FC564C"/>
    <w:rsid w:val="00FD08B1"/>
    <w:rsid w:val="00FD236F"/>
    <w:rsid w:val="00FD48DE"/>
    <w:rsid w:val="00FD56C2"/>
    <w:rsid w:val="00FD5D94"/>
    <w:rsid w:val="00FD628A"/>
    <w:rsid w:val="00FD75F9"/>
    <w:rsid w:val="00FE06DB"/>
    <w:rsid w:val="00FE0812"/>
    <w:rsid w:val="00FE0FB0"/>
    <w:rsid w:val="00FE2A3D"/>
    <w:rsid w:val="00FE39C9"/>
    <w:rsid w:val="00FE5D1A"/>
    <w:rsid w:val="00FF0668"/>
    <w:rsid w:val="00FF253B"/>
    <w:rsid w:val="00FF46FE"/>
    <w:rsid w:val="00FF5249"/>
    <w:rsid w:val="00FF70DE"/>
    <w:rsid w:val="00FF7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B7DAE60-31D2-4434-915C-3621AC5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E7"/>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paragraph" w:styleId="Ttulo4">
    <w:name w:val="heading 4"/>
    <w:basedOn w:val="Normal"/>
    <w:next w:val="Normal"/>
    <w:link w:val="Ttulo4Car"/>
    <w:uiPriority w:val="9"/>
    <w:semiHidden/>
    <w:unhideWhenUsed/>
    <w:qFormat/>
    <w:rsid w:val="00E352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basedOn w:val="Normal"/>
    <w:uiPriority w:val="34"/>
    <w:qFormat/>
    <w:rsid w:val="006A7EE7"/>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styleId="Mencinsinresolver">
    <w:name w:val="Unresolved Mention"/>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38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unhideWhenUsed/>
    <w:qFormat/>
    <w:rsid w:val="003F3DC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3DCF"/>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
    <w:basedOn w:val="Fuentedeprrafopredeter"/>
    <w:link w:val="4GChar"/>
    <w:uiPriority w:val="99"/>
    <w:unhideWhenUsed/>
    <w:qFormat/>
    <w:rsid w:val="003F3DCF"/>
    <w:rPr>
      <w:vertAlign w:val="superscript"/>
    </w:rPr>
  </w:style>
  <w:style w:type="paragraph" w:customStyle="1" w:styleId="Estilo">
    <w:name w:val="Estilo"/>
    <w:basedOn w:val="Sinespaciado"/>
    <w:link w:val="EstiloCar"/>
    <w:qFormat/>
    <w:rsid w:val="00626627"/>
    <w:pPr>
      <w:jc w:val="both"/>
    </w:pPr>
    <w:rPr>
      <w:rFonts w:ascii="Arial" w:hAnsi="Arial"/>
      <w:sz w:val="24"/>
    </w:rPr>
  </w:style>
  <w:style w:type="character" w:customStyle="1" w:styleId="EstiloCar">
    <w:name w:val="Estilo Car"/>
    <w:basedOn w:val="Fuentedeprrafopredeter"/>
    <w:link w:val="Estilo"/>
    <w:rsid w:val="00626627"/>
    <w:rPr>
      <w:rFonts w:ascii="Arial" w:eastAsiaTheme="minorEastAsia" w:hAnsi="Arial"/>
      <w:sz w:val="24"/>
      <w:lang w:eastAsia="es-MX"/>
    </w:rPr>
  </w:style>
  <w:style w:type="paragraph" w:styleId="Sinespaciado">
    <w:name w:val="No Spacing"/>
    <w:uiPriority w:val="1"/>
    <w:qFormat/>
    <w:rsid w:val="00626627"/>
    <w:pPr>
      <w:spacing w:after="0" w:line="240" w:lineRule="auto"/>
    </w:pPr>
    <w:rPr>
      <w:rFonts w:eastAsiaTheme="minorEastAsia"/>
      <w:lang w:eastAsia="es-MX"/>
    </w:rPr>
  </w:style>
  <w:style w:type="character" w:customStyle="1" w:styleId="apple-converted-space">
    <w:name w:val="apple-converted-space"/>
    <w:basedOn w:val="Fuentedeprrafopredeter"/>
    <w:rsid w:val="00C82B8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23B5"/>
    <w:pPr>
      <w:spacing w:after="0" w:line="240" w:lineRule="auto"/>
      <w:jc w:val="both"/>
    </w:pPr>
    <w:rPr>
      <w:rFonts w:eastAsiaTheme="minorHAnsi"/>
      <w:vertAlign w:val="superscript"/>
      <w:lang w:eastAsia="en-US"/>
    </w:rPr>
  </w:style>
  <w:style w:type="character" w:customStyle="1" w:styleId="Ttulo4Car">
    <w:name w:val="Título 4 Car"/>
    <w:basedOn w:val="Fuentedeprrafopredeter"/>
    <w:link w:val="Ttulo4"/>
    <w:uiPriority w:val="9"/>
    <w:semiHidden/>
    <w:rsid w:val="00E352F8"/>
    <w:rPr>
      <w:rFonts w:asciiTheme="majorHAnsi" w:eastAsiaTheme="majorEastAsia" w:hAnsiTheme="majorHAnsi" w:cstheme="majorBidi"/>
      <w:i/>
      <w:iCs/>
      <w:color w:val="2F5496" w:themeColor="accent1" w:themeShade="BF"/>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5F21DD"/>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DA47E0"/>
    <w:pPr>
      <w:numPr>
        <w:ilvl w:val="1"/>
      </w:numPr>
      <w:spacing w:after="160" w:line="259" w:lineRule="auto"/>
    </w:pPr>
    <w:rPr>
      <w:color w:val="5A5A5A" w:themeColor="text1" w:themeTint="A5"/>
      <w:spacing w:val="15"/>
      <w:lang w:eastAsia="en-US"/>
    </w:rPr>
  </w:style>
  <w:style w:type="character" w:customStyle="1" w:styleId="SubttuloCar">
    <w:name w:val="Subtítulo Car"/>
    <w:basedOn w:val="Fuentedeprrafopredeter"/>
    <w:link w:val="Subttulo"/>
    <w:uiPriority w:val="11"/>
    <w:rsid w:val="00DA47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722">
      <w:bodyDiv w:val="1"/>
      <w:marLeft w:val="0"/>
      <w:marRight w:val="0"/>
      <w:marTop w:val="0"/>
      <w:marBottom w:val="0"/>
      <w:divBdr>
        <w:top w:val="none" w:sz="0" w:space="0" w:color="auto"/>
        <w:left w:val="none" w:sz="0" w:space="0" w:color="auto"/>
        <w:bottom w:val="none" w:sz="0" w:space="0" w:color="auto"/>
        <w:right w:val="none" w:sz="0" w:space="0" w:color="auto"/>
      </w:divBdr>
    </w:div>
    <w:div w:id="118568379">
      <w:bodyDiv w:val="1"/>
      <w:marLeft w:val="0"/>
      <w:marRight w:val="0"/>
      <w:marTop w:val="0"/>
      <w:marBottom w:val="0"/>
      <w:divBdr>
        <w:top w:val="none" w:sz="0" w:space="0" w:color="auto"/>
        <w:left w:val="none" w:sz="0" w:space="0" w:color="auto"/>
        <w:bottom w:val="none" w:sz="0" w:space="0" w:color="auto"/>
        <w:right w:val="none" w:sz="0" w:space="0" w:color="auto"/>
      </w:divBdr>
    </w:div>
    <w:div w:id="308245152">
      <w:bodyDiv w:val="1"/>
      <w:marLeft w:val="0"/>
      <w:marRight w:val="0"/>
      <w:marTop w:val="0"/>
      <w:marBottom w:val="0"/>
      <w:divBdr>
        <w:top w:val="none" w:sz="0" w:space="0" w:color="auto"/>
        <w:left w:val="none" w:sz="0" w:space="0" w:color="auto"/>
        <w:bottom w:val="none" w:sz="0" w:space="0" w:color="auto"/>
        <w:right w:val="none" w:sz="0" w:space="0" w:color="auto"/>
      </w:divBdr>
    </w:div>
    <w:div w:id="386337359">
      <w:bodyDiv w:val="1"/>
      <w:marLeft w:val="0"/>
      <w:marRight w:val="0"/>
      <w:marTop w:val="0"/>
      <w:marBottom w:val="0"/>
      <w:divBdr>
        <w:top w:val="none" w:sz="0" w:space="0" w:color="auto"/>
        <w:left w:val="none" w:sz="0" w:space="0" w:color="auto"/>
        <w:bottom w:val="none" w:sz="0" w:space="0" w:color="auto"/>
        <w:right w:val="none" w:sz="0" w:space="0" w:color="auto"/>
      </w:divBdr>
    </w:div>
    <w:div w:id="525607223">
      <w:bodyDiv w:val="1"/>
      <w:marLeft w:val="0"/>
      <w:marRight w:val="0"/>
      <w:marTop w:val="0"/>
      <w:marBottom w:val="0"/>
      <w:divBdr>
        <w:top w:val="none" w:sz="0" w:space="0" w:color="auto"/>
        <w:left w:val="none" w:sz="0" w:space="0" w:color="auto"/>
        <w:bottom w:val="none" w:sz="0" w:space="0" w:color="auto"/>
        <w:right w:val="none" w:sz="0" w:space="0" w:color="auto"/>
      </w:divBdr>
    </w:div>
    <w:div w:id="543640575">
      <w:bodyDiv w:val="1"/>
      <w:marLeft w:val="0"/>
      <w:marRight w:val="0"/>
      <w:marTop w:val="0"/>
      <w:marBottom w:val="0"/>
      <w:divBdr>
        <w:top w:val="none" w:sz="0" w:space="0" w:color="auto"/>
        <w:left w:val="none" w:sz="0" w:space="0" w:color="auto"/>
        <w:bottom w:val="none" w:sz="0" w:space="0" w:color="auto"/>
        <w:right w:val="none" w:sz="0" w:space="0" w:color="auto"/>
      </w:divBdr>
    </w:div>
    <w:div w:id="824392847">
      <w:bodyDiv w:val="1"/>
      <w:marLeft w:val="0"/>
      <w:marRight w:val="0"/>
      <w:marTop w:val="0"/>
      <w:marBottom w:val="0"/>
      <w:divBdr>
        <w:top w:val="none" w:sz="0" w:space="0" w:color="auto"/>
        <w:left w:val="none" w:sz="0" w:space="0" w:color="auto"/>
        <w:bottom w:val="none" w:sz="0" w:space="0" w:color="auto"/>
        <w:right w:val="none" w:sz="0" w:space="0" w:color="auto"/>
      </w:divBdr>
    </w:div>
    <w:div w:id="1516456133">
      <w:bodyDiv w:val="1"/>
      <w:marLeft w:val="0"/>
      <w:marRight w:val="0"/>
      <w:marTop w:val="0"/>
      <w:marBottom w:val="0"/>
      <w:divBdr>
        <w:top w:val="none" w:sz="0" w:space="0" w:color="auto"/>
        <w:left w:val="none" w:sz="0" w:space="0" w:color="auto"/>
        <w:bottom w:val="none" w:sz="0" w:space="0" w:color="auto"/>
        <w:right w:val="none" w:sz="0" w:space="0" w:color="auto"/>
      </w:divBdr>
      <w:divsChild>
        <w:div w:id="9761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92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686518">
      <w:bodyDiv w:val="1"/>
      <w:marLeft w:val="0"/>
      <w:marRight w:val="0"/>
      <w:marTop w:val="0"/>
      <w:marBottom w:val="0"/>
      <w:divBdr>
        <w:top w:val="none" w:sz="0" w:space="0" w:color="auto"/>
        <w:left w:val="none" w:sz="0" w:space="0" w:color="auto"/>
        <w:bottom w:val="none" w:sz="0" w:space="0" w:color="auto"/>
        <w:right w:val="none" w:sz="0" w:space="0" w:color="auto"/>
      </w:divBdr>
    </w:div>
    <w:div w:id="1773207719">
      <w:bodyDiv w:val="1"/>
      <w:marLeft w:val="0"/>
      <w:marRight w:val="0"/>
      <w:marTop w:val="0"/>
      <w:marBottom w:val="0"/>
      <w:divBdr>
        <w:top w:val="none" w:sz="0" w:space="0" w:color="auto"/>
        <w:left w:val="none" w:sz="0" w:space="0" w:color="auto"/>
        <w:bottom w:val="none" w:sz="0" w:space="0" w:color="auto"/>
        <w:right w:val="none" w:sz="0" w:space="0" w:color="auto"/>
      </w:divBdr>
    </w:div>
    <w:div w:id="1795900064">
      <w:bodyDiv w:val="1"/>
      <w:marLeft w:val="0"/>
      <w:marRight w:val="0"/>
      <w:marTop w:val="0"/>
      <w:marBottom w:val="0"/>
      <w:divBdr>
        <w:top w:val="none" w:sz="0" w:space="0" w:color="auto"/>
        <w:left w:val="none" w:sz="0" w:space="0" w:color="auto"/>
        <w:bottom w:val="none" w:sz="0" w:space="0" w:color="auto"/>
        <w:right w:val="none" w:sz="0" w:space="0" w:color="auto"/>
      </w:divBdr>
    </w:div>
    <w:div w:id="1872112832">
      <w:bodyDiv w:val="1"/>
      <w:marLeft w:val="0"/>
      <w:marRight w:val="0"/>
      <w:marTop w:val="0"/>
      <w:marBottom w:val="0"/>
      <w:divBdr>
        <w:top w:val="none" w:sz="0" w:space="0" w:color="auto"/>
        <w:left w:val="none" w:sz="0" w:space="0" w:color="auto"/>
        <w:bottom w:val="none" w:sz="0" w:space="0" w:color="auto"/>
        <w:right w:val="none" w:sz="0" w:space="0" w:color="auto"/>
      </w:divBdr>
    </w:div>
    <w:div w:id="1955407324">
      <w:bodyDiv w:val="1"/>
      <w:marLeft w:val="0"/>
      <w:marRight w:val="0"/>
      <w:marTop w:val="0"/>
      <w:marBottom w:val="0"/>
      <w:divBdr>
        <w:top w:val="none" w:sz="0" w:space="0" w:color="auto"/>
        <w:left w:val="none" w:sz="0" w:space="0" w:color="auto"/>
        <w:bottom w:val="none" w:sz="0" w:space="0" w:color="auto"/>
        <w:right w:val="none" w:sz="0" w:space="0" w:color="auto"/>
      </w:divBdr>
    </w:div>
    <w:div w:id="2100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en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orena.si/wp-content/uploads/2019/03/FE-DE-ERRATAS-DICTAMEN-DE-APROBACI%C3%93N-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BBFA-5B4C-461B-8E06-68F85F5B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4954</Words>
  <Characters>27250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2019-04-16T21:17:00Z</cp:lastPrinted>
  <dcterms:created xsi:type="dcterms:W3CDTF">2019-04-16T22:36:00Z</dcterms:created>
  <dcterms:modified xsi:type="dcterms:W3CDTF">2019-04-16T22:36:00Z</dcterms:modified>
</cp:coreProperties>
</file>